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73" w:rsidRDefault="00A51173">
      <w:pPr>
        <w:pStyle w:val="ConsPlusTitle"/>
        <w:jc w:val="center"/>
      </w:pPr>
      <w:bookmarkStart w:id="0" w:name="_GoBack"/>
      <w:bookmarkEnd w:id="0"/>
      <w:r>
        <w:t>УПРАВЛЕНИЕ ФЕДЕРАЛЬНОЙ АНТИМОНОПОЛЬНОЙ СЛУЖБЫ</w:t>
      </w:r>
    </w:p>
    <w:p w:rsidR="00A51173" w:rsidRDefault="00A51173">
      <w:pPr>
        <w:pStyle w:val="ConsPlusTitle"/>
        <w:jc w:val="center"/>
      </w:pPr>
      <w:r>
        <w:t>ПО КРАСНОДАРСКОМУ КРАЮ</w:t>
      </w:r>
    </w:p>
    <w:p w:rsidR="00A51173" w:rsidRDefault="00A51173">
      <w:pPr>
        <w:pStyle w:val="ConsPlusTitle"/>
        <w:jc w:val="center"/>
      </w:pPr>
    </w:p>
    <w:p w:rsidR="00A51173" w:rsidRDefault="00A51173">
      <w:pPr>
        <w:pStyle w:val="ConsPlusTitle"/>
        <w:jc w:val="center"/>
      </w:pPr>
      <w:r>
        <w:t>РЕШЕНИЕ</w:t>
      </w:r>
    </w:p>
    <w:p w:rsidR="00A51173" w:rsidRDefault="00A51173">
      <w:pPr>
        <w:pStyle w:val="ConsPlusTitle"/>
        <w:jc w:val="center"/>
      </w:pPr>
      <w:r>
        <w:t>от 26 марта 2018 г. по делу N ВП-45/2018</w:t>
      </w:r>
    </w:p>
    <w:p w:rsidR="00A51173" w:rsidRDefault="00A51173">
      <w:pPr>
        <w:pStyle w:val="ConsPlusTitle"/>
        <w:jc w:val="center"/>
      </w:pPr>
    </w:p>
    <w:p w:rsidR="00A51173" w:rsidRDefault="00A51173">
      <w:pPr>
        <w:pStyle w:val="ConsPlusTitle"/>
        <w:jc w:val="center"/>
      </w:pPr>
      <w:r>
        <w:t>О РЕЗУЛЬТАТАХ ВНЕПЛАНОВОЙ ПРОВЕРКИ СОБЛЮДЕНИЯ</w:t>
      </w:r>
    </w:p>
    <w:p w:rsidR="00A51173" w:rsidRDefault="00A51173">
      <w:pPr>
        <w:pStyle w:val="ConsPlusTitle"/>
        <w:jc w:val="center"/>
      </w:pPr>
      <w:r>
        <w:t>ЗАКОНОДАТЕЛЬСТВА О КОНТРАКТНОЙ СИСТЕМЕ</w:t>
      </w:r>
    </w:p>
    <w:p w:rsidR="00A51173" w:rsidRDefault="00A51173">
      <w:pPr>
        <w:pStyle w:val="ConsPlusNormal"/>
        <w:ind w:firstLine="540"/>
        <w:jc w:val="both"/>
      </w:pPr>
    </w:p>
    <w:p w:rsidR="00A51173" w:rsidRDefault="00A51173">
      <w:pPr>
        <w:pStyle w:val="ConsPlusNormal"/>
        <w:ind w:firstLine="540"/>
        <w:jc w:val="both"/>
      </w:pPr>
      <w:r>
        <w:t xml:space="preserve">На основании </w:t>
      </w:r>
      <w:hyperlink r:id="rId5" w:history="1">
        <w:r>
          <w:rPr>
            <w:color w:val="0000FF"/>
          </w:rPr>
          <w:t>ст. 99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системе), проведена внеплановая проверка в отношении заказчика - "А" при проведении электронного аукциона: "Капитальный ремонт, ремонт автомобильных дорог общего пользования местного значения" (извещение N 0318300274518000039), в части нарушения законодательства о контрактной системе,</w:t>
      </w:r>
    </w:p>
    <w:p w:rsidR="00A51173" w:rsidRDefault="00A51173">
      <w:pPr>
        <w:pStyle w:val="ConsPlusNormal"/>
        <w:jc w:val="center"/>
      </w:pPr>
    </w:p>
    <w:p w:rsidR="00A51173" w:rsidRDefault="00A51173">
      <w:pPr>
        <w:pStyle w:val="ConsPlusNormal"/>
        <w:jc w:val="center"/>
      </w:pPr>
      <w:r>
        <w:t>установила:</w:t>
      </w:r>
    </w:p>
    <w:p w:rsidR="00A51173" w:rsidRDefault="00A51173">
      <w:pPr>
        <w:pStyle w:val="ConsPlusNormal"/>
        <w:jc w:val="center"/>
      </w:pPr>
    </w:p>
    <w:p w:rsidR="00A51173" w:rsidRDefault="00A51173">
      <w:pPr>
        <w:pStyle w:val="ConsPlusNormal"/>
        <w:ind w:firstLine="540"/>
        <w:jc w:val="both"/>
      </w:pPr>
      <w:r>
        <w:t>В Управление Федеральной антимонопольной службы по Краснодарскому краю поступила жалоба ИП П. &lt;...&gt; для проведения внеплановой проверки соблюдения законодательства о контрактной системе в отношении заказчика - "А" при проведении электронного аукциона: "Капитальный ремонт, ремонт автомобильных дорог общего пользования местного значения" (извещение N 0318300274518000039).</w:t>
      </w:r>
    </w:p>
    <w:p w:rsidR="00A51173" w:rsidRDefault="00A51173">
      <w:pPr>
        <w:pStyle w:val="ConsPlusNormal"/>
        <w:spacing w:before="220"/>
        <w:ind w:firstLine="540"/>
        <w:jc w:val="both"/>
      </w:pPr>
      <w:r>
        <w:t xml:space="preserve">Заявитель считает, что аукционная документация составлена с нарушением требований </w:t>
      </w:r>
      <w:hyperlink r:id="rId6" w:history="1">
        <w:r>
          <w:rPr>
            <w:color w:val="0000FF"/>
          </w:rPr>
          <w:t>Закона</w:t>
        </w:r>
      </w:hyperlink>
      <w:r>
        <w:t xml:space="preserve"> о контрактной системе. В аукционной документации отсутствует заключение экспертизы достоверной стоимости. Заказчиком установлены требования к характеристикам товаров (материалов), применяемых при выполнении работ, значения которых становятся известны при проведении испытаний конкретной партии товара.</w:t>
      </w:r>
    </w:p>
    <w:p w:rsidR="00A51173" w:rsidRDefault="00A51173">
      <w:pPr>
        <w:pStyle w:val="ConsPlusNormal"/>
        <w:spacing w:before="220"/>
        <w:ind w:firstLine="540"/>
        <w:jc w:val="both"/>
      </w:pPr>
      <w:r>
        <w:t xml:space="preserve">Представитель заказчика с доводами жалобы не согласился. Аукционная документация соответствует положениям </w:t>
      </w:r>
      <w:hyperlink r:id="rId7" w:history="1">
        <w:r>
          <w:rPr>
            <w:color w:val="0000FF"/>
          </w:rPr>
          <w:t>Закона</w:t>
        </w:r>
      </w:hyperlink>
      <w:r>
        <w:t xml:space="preserve"> о контрактной системе.</w:t>
      </w:r>
    </w:p>
    <w:p w:rsidR="00A51173" w:rsidRDefault="00A51173">
      <w:pPr>
        <w:pStyle w:val="ConsPlusNormal"/>
        <w:spacing w:before="220"/>
        <w:ind w:firstLine="540"/>
        <w:jc w:val="both"/>
      </w:pPr>
      <w:r>
        <w:t>Рассмотрев представленные материалы, Инспекция пришла к следующим выводам.</w:t>
      </w:r>
    </w:p>
    <w:p w:rsidR="00A51173" w:rsidRDefault="00A51173">
      <w:pPr>
        <w:pStyle w:val="ConsPlusNormal"/>
        <w:spacing w:before="220"/>
        <w:ind w:firstLine="540"/>
        <w:jc w:val="both"/>
      </w:pPr>
      <w:r>
        <w:t>Заказчиком - "А" проводился электронный аукцион: "Капитальный ремонт, ремонт автомобильных дорог общего пользования местного значения" (извещение N 0318300274518000039).</w:t>
      </w:r>
    </w:p>
    <w:p w:rsidR="00A51173" w:rsidRDefault="00A51173">
      <w:pPr>
        <w:pStyle w:val="ConsPlusNormal"/>
        <w:spacing w:before="220"/>
        <w:ind w:firstLine="540"/>
        <w:jc w:val="both"/>
      </w:pPr>
      <w:r>
        <w:t>Начальная (максимальная) цена контракта - 16 117 700,00 рублей.</w:t>
      </w:r>
    </w:p>
    <w:p w:rsidR="00A51173" w:rsidRDefault="00A51173">
      <w:pPr>
        <w:pStyle w:val="ConsPlusNormal"/>
        <w:spacing w:before="220"/>
        <w:ind w:firstLine="540"/>
        <w:jc w:val="both"/>
      </w:pPr>
      <w:r>
        <w:t xml:space="preserve">В </w:t>
      </w:r>
      <w:hyperlink r:id="rId8" w:history="1">
        <w:r>
          <w:rPr>
            <w:color w:val="0000FF"/>
          </w:rPr>
          <w:t>ч. 1 ст. 48</w:t>
        </w:r>
      </w:hyperlink>
      <w:r>
        <w:t xml:space="preserve"> Градостроительного кодекса Российской Федерации установлено, что архитектурно-строительное проектирование осуществляется путем подготовки проектной документации применительно к объектам капитального строительства и их частям, строящимся, реконструируемым в границах принадлежащего застройщику или иному правообладателю земельного участка.</w:t>
      </w:r>
    </w:p>
    <w:p w:rsidR="00A51173" w:rsidRDefault="00A51173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п. 4.1 ч. 17 ст. 51</w:t>
        </w:r>
      </w:hyperlink>
      <w:r>
        <w:t xml:space="preserve"> Градостроительного кодекса Российской Федерации выдача разрешения на строительство не требуется в случае капитального ремонта объектов капитального строительства. Из чего следует, что на выполнение работ по "Капитальному ремонт, ремонту автомобильных дорог общего пользования местного значения" проектная документация не требуется.</w:t>
      </w:r>
    </w:p>
    <w:p w:rsidR="00A51173" w:rsidRDefault="00A51173">
      <w:pPr>
        <w:pStyle w:val="ConsPlusNormal"/>
        <w:spacing w:before="220"/>
        <w:ind w:firstLine="540"/>
        <w:jc w:val="both"/>
      </w:pPr>
      <w:proofErr w:type="gramStart"/>
      <w:r>
        <w:t xml:space="preserve">Согласно </w:t>
      </w:r>
      <w:hyperlink r:id="rId10" w:history="1">
        <w:r>
          <w:rPr>
            <w:color w:val="0000FF"/>
          </w:rPr>
          <w:t>ч. 2 ст. 8.3</w:t>
        </w:r>
      </w:hyperlink>
      <w:r>
        <w:t xml:space="preserve"> </w:t>
      </w:r>
      <w:proofErr w:type="spellStart"/>
      <w:r>
        <w:t>ГрК</w:t>
      </w:r>
      <w:proofErr w:type="spellEnd"/>
      <w:r>
        <w:t xml:space="preserve"> РФ сметная стоимость строительства, финансируемого с привлечением средств бюджетов бюджетной системы Российской Федерации, средств </w:t>
      </w:r>
      <w:r>
        <w:lastRenderedPageBreak/>
        <w:t>юридических лиц, созданных Российской Федерацией, субъектами Российской Федерации, муниципальными образованиями, юридических лиц, доля в уставных (складочных) капиталах которых Российской Федерации, субъектов Российской Федерации, муниципальных образований составляет более 50 процентов, подлежит проверке на предмет достоверности ее определения в порядке, установленном Правительством</w:t>
      </w:r>
      <w:proofErr w:type="gramEnd"/>
      <w:r>
        <w:t xml:space="preserve"> Российской Федерации, в том числе на предмет ее </w:t>
      </w:r>
      <w:proofErr w:type="spellStart"/>
      <w:r>
        <w:t>непревышения</w:t>
      </w:r>
      <w:proofErr w:type="spellEnd"/>
      <w:r>
        <w:t xml:space="preserve"> над укрупненным нормативом цены строительства в случаях, установленных Правительством Российской Федерации.</w:t>
      </w:r>
    </w:p>
    <w:p w:rsidR="00A51173" w:rsidRDefault="00A51173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11" w:history="1">
        <w:r>
          <w:rPr>
            <w:color w:val="0000FF"/>
          </w:rPr>
          <w:t>ч. 1.1</w:t>
        </w:r>
      </w:hyperlink>
      <w:r>
        <w:t xml:space="preserve"> Положения "О 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строительства, работ по сохранению объектов культурного наследия (памятников истории и культуры) народов Российской Федерации, финансирование которых осуществляется с привлечением средств бюджетов бюджетной системы 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Российской Федерации</w:t>
      </w:r>
      <w:proofErr w:type="gramEnd"/>
      <w:r>
        <w:t>, субъектов Российской Федерации, муниципальных образований в уставных (складочных) капиталах которых составляет более 50 процентов" (далее Положение) утвержденного постановление Правительства РФ от 18.05.2009 г. N 427: Проверке сметной стоимости подлежит сметная стоимость капитального ремонта объектов капитального строительства в случае, если такой капитальный ремонт включает:</w:t>
      </w:r>
    </w:p>
    <w:p w:rsidR="00A51173" w:rsidRDefault="00A51173">
      <w:pPr>
        <w:pStyle w:val="ConsPlusNormal"/>
        <w:spacing w:before="220"/>
        <w:ind w:firstLine="540"/>
        <w:jc w:val="both"/>
      </w:pPr>
      <w:proofErr w:type="gramStart"/>
      <w:r>
        <w:t>а) замену и (или) восстановление всех видов строительных конструкций (за исключением несущих строительных конструкций) или заменили) восстановление всех строительных конструкций (за исключением несущих строительных конструкций) в совокупности с заменой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элементов;</w:t>
      </w:r>
      <w:proofErr w:type="gramEnd"/>
    </w:p>
    <w:p w:rsidR="00A51173" w:rsidRDefault="00A51173">
      <w:pPr>
        <w:pStyle w:val="ConsPlusNormal"/>
        <w:spacing w:before="220"/>
        <w:ind w:firstLine="540"/>
        <w:jc w:val="both"/>
      </w:pPr>
      <w:r>
        <w:t>б) замену и (или) восстановление всех видов систем инженерно-технического обеспечения или всех видов сетей инженерно-технического обеспечения;</w:t>
      </w:r>
    </w:p>
    <w:p w:rsidR="00A51173" w:rsidRDefault="00A51173">
      <w:pPr>
        <w:pStyle w:val="ConsPlusNormal"/>
        <w:spacing w:before="220"/>
        <w:ind w:firstLine="540"/>
        <w:jc w:val="both"/>
      </w:pPr>
      <w:r>
        <w:t>в) изменение всех параметров линейного объекта, которое не влечет за собой изменение класса, категории и (или) первоначально установленных показателей функционирования такого объекта и при котором не требуется изменение границ полосы отвода и (или) охранной зоны такого объекта.</w:t>
      </w:r>
    </w:p>
    <w:p w:rsidR="00A51173" w:rsidRDefault="00A51173">
      <w:pPr>
        <w:pStyle w:val="ConsPlusNormal"/>
        <w:spacing w:before="220"/>
        <w:ind w:firstLine="540"/>
        <w:jc w:val="both"/>
      </w:pPr>
      <w:r>
        <w:t xml:space="preserve">Из вышеизложенного следует, что заключение </w:t>
      </w:r>
      <w:proofErr w:type="gramStart"/>
      <w:r>
        <w:t>экспертизы достоверности сметной стоимости документации электронного аукциона</w:t>
      </w:r>
      <w:proofErr w:type="gramEnd"/>
      <w:r>
        <w:t xml:space="preserve"> не требуется.</w:t>
      </w:r>
    </w:p>
    <w:p w:rsidR="00A51173" w:rsidRDefault="00A51173">
      <w:pPr>
        <w:pStyle w:val="ConsPlusNormal"/>
        <w:spacing w:before="220"/>
        <w:ind w:firstLine="540"/>
        <w:jc w:val="both"/>
      </w:pPr>
      <w:r>
        <w:t xml:space="preserve">Таким образом, довод заявителя о неправомерном отсутствии в аукционной документации заключения экспертизы достоверной стоимости </w:t>
      </w:r>
      <w:proofErr w:type="spellStart"/>
      <w:r>
        <w:t>необоснован</w:t>
      </w:r>
      <w:proofErr w:type="spellEnd"/>
      <w:r>
        <w:t>.</w:t>
      </w:r>
    </w:p>
    <w:p w:rsidR="00A51173" w:rsidRDefault="00A51173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12" w:history="1">
        <w:r>
          <w:rPr>
            <w:color w:val="0000FF"/>
          </w:rPr>
          <w:t>ч. 3 ст. 7</w:t>
        </w:r>
      </w:hyperlink>
      <w:r>
        <w:t xml:space="preserve"> Закона о контрактной системе информация, предусмотренная настоящим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и размещенная в единой информационной системе, должна быть полной и достоверной.</w:t>
      </w:r>
    </w:p>
    <w:p w:rsidR="00A51173" w:rsidRDefault="00A51173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4" w:history="1">
        <w:r>
          <w:rPr>
            <w:color w:val="0000FF"/>
          </w:rPr>
          <w:t>п. 1) ч. 1 ст. 64</w:t>
        </w:r>
      </w:hyperlink>
      <w:r>
        <w:t xml:space="preserve"> Закона о контрактной системе </w:t>
      </w:r>
      <w:proofErr w:type="gramStart"/>
      <w:r>
        <w:t>документация</w:t>
      </w:r>
      <w:proofErr w:type="gramEnd"/>
      <w:r>
        <w:t xml:space="preserve"> об электронном аукционе наряду с информацией, указанной в извещении о проведении такого аукциона, должна содержать наименование и описание объекта закупки и условия контракта в соответствии со </w:t>
      </w:r>
      <w:hyperlink r:id="rId15" w:history="1">
        <w:r>
          <w:rPr>
            <w:color w:val="0000FF"/>
          </w:rPr>
          <w:t>статьей 33</w:t>
        </w:r>
      </w:hyperlink>
      <w:r>
        <w:t xml:space="preserve"> настоящего Федерального закона, в том числе обоснование начальной (максимальной) цены контракта.</w:t>
      </w:r>
    </w:p>
    <w:p w:rsidR="00A51173" w:rsidRDefault="00A51173">
      <w:pPr>
        <w:pStyle w:val="ConsPlusNormal"/>
        <w:spacing w:before="220"/>
        <w:ind w:firstLine="540"/>
        <w:jc w:val="both"/>
      </w:pPr>
      <w:proofErr w:type="gramStart"/>
      <w:r>
        <w:t xml:space="preserve">На основании </w:t>
      </w:r>
      <w:hyperlink r:id="rId16" w:history="1">
        <w:r>
          <w:rPr>
            <w:color w:val="0000FF"/>
          </w:rPr>
          <w:t>п. 1</w:t>
        </w:r>
      </w:hyperlink>
      <w:r>
        <w:t xml:space="preserve">), </w:t>
      </w:r>
      <w:hyperlink r:id="rId17" w:history="1">
        <w:r>
          <w:rPr>
            <w:color w:val="0000FF"/>
          </w:rPr>
          <w:t>п. 2) ч. 1 ст. 33</w:t>
        </w:r>
      </w:hyperlink>
      <w:r>
        <w:t xml:space="preserve"> Закона о контрактной системе заказчик при описании в документации о закупке объекта закупки должен руководствоваться следующими правилами:</w:t>
      </w:r>
      <w:proofErr w:type="gramEnd"/>
    </w:p>
    <w:p w:rsidR="00A51173" w:rsidRDefault="00A51173">
      <w:pPr>
        <w:pStyle w:val="ConsPlusNormal"/>
        <w:spacing w:before="220"/>
        <w:ind w:firstLine="540"/>
        <w:jc w:val="both"/>
      </w:pPr>
      <w:r>
        <w:t xml:space="preserve">1)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</w:t>
      </w:r>
      <w:r>
        <w:lastRenderedPageBreak/>
        <w:t xml:space="preserve">описание объекта закупки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страны происхождения товара, требования к товарам, информации, работам, услугам при условии, что такие требования или указания влекут за собой ограничение количества участников закупки. </w:t>
      </w:r>
      <w:proofErr w:type="gramStart"/>
      <w:r>
        <w:t>Допускается использование в описании объекта закупки указания на товарный знак при условии сопровождения такого указания словами "или эквивалент" либо при условии несовместимости товаров, на которых размещаются другие товарные знаки, и необходимости обеспечения взаимодействия таких товаров с товарами, используемыми заказчиком, либо при условии закупок запасных частей и расходных материалов к машинам и оборудованию, используемым заказчиком, в соответствии с технической документацией на</w:t>
      </w:r>
      <w:proofErr w:type="gramEnd"/>
      <w:r>
        <w:t xml:space="preserve"> указанные машины и оборудование;</w:t>
      </w:r>
    </w:p>
    <w:p w:rsidR="00A51173" w:rsidRDefault="00A51173">
      <w:pPr>
        <w:pStyle w:val="ConsPlusNormal"/>
        <w:spacing w:before="220"/>
        <w:ind w:firstLine="540"/>
        <w:jc w:val="both"/>
      </w:pPr>
      <w:proofErr w:type="gramStart"/>
      <w:r>
        <w:t>2) использование при составлении описания объекта закупки показателей, требований, условных обозначений и терминологии, касающихся технических характеристик, функциональных характеристик (потребительских свойств) товара, работы, услуги и качественных характеристик объекта закупки, которые предусмотрены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иных</w:t>
      </w:r>
      <w:proofErr w:type="gramEnd"/>
      <w:r>
        <w:t xml:space="preserve"> требований, связанных с определением соответствия поставляемого товара, выполняемой работы, оказываемой услуги потребностям заказчика.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регулировании, законодательством Российской Федерации о стандартизации показатели, требования, условные обозначения и терминология, в документации о закупке должно содержаться обоснование необходимости использования других показателей, требований, условных обозначений и терминологии.</w:t>
      </w:r>
    </w:p>
    <w:p w:rsidR="00A51173" w:rsidRDefault="00A51173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18" w:history="1">
        <w:r>
          <w:rPr>
            <w:color w:val="0000FF"/>
          </w:rPr>
          <w:t>ч. 2 ст. 33</w:t>
        </w:r>
      </w:hyperlink>
      <w:r>
        <w:t xml:space="preserve"> Закона о контрактной системе </w:t>
      </w:r>
      <w:proofErr w:type="gramStart"/>
      <w:r>
        <w:t>документация</w:t>
      </w:r>
      <w:proofErr w:type="gramEnd"/>
      <w:r>
        <w:t xml:space="preserve"> о закупке в соответствии с требованиями, указанными в </w:t>
      </w:r>
      <w:hyperlink r:id="rId19" w:history="1">
        <w:r>
          <w:rPr>
            <w:color w:val="0000FF"/>
          </w:rPr>
          <w:t>части 1 настоящей статьи</w:t>
        </w:r>
      </w:hyperlink>
      <w:r>
        <w:t>, должна содержать показатели, позволяющие определить соответствие закупаемых товара, работы, услуги установленным заказчиком требованиям. При этом указываются максимальные и (или) минимальные значения таких показателей, а также значения показателей, которые не могут изменяться.</w:t>
      </w:r>
    </w:p>
    <w:p w:rsidR="00A51173" w:rsidRDefault="00A51173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20" w:history="1">
        <w:r>
          <w:rPr>
            <w:color w:val="0000FF"/>
          </w:rPr>
          <w:t>п. 2) ч. 1 ст. 64</w:t>
        </w:r>
      </w:hyperlink>
      <w:r>
        <w:t xml:space="preserve"> Закона о контрактной системе </w:t>
      </w:r>
      <w:proofErr w:type="gramStart"/>
      <w:r>
        <w:t>документация</w:t>
      </w:r>
      <w:proofErr w:type="gramEnd"/>
      <w:r>
        <w:t xml:space="preserve"> об электронном аукционе наряду с информацией, указанной в извещении о проведении такого аукциона, должна содержать требования к содержанию, составу заявки на участие в таком аукционе в соответствии с </w:t>
      </w:r>
      <w:hyperlink r:id="rId21" w:history="1">
        <w:r>
          <w:rPr>
            <w:color w:val="0000FF"/>
          </w:rPr>
          <w:t>частями 3</w:t>
        </w:r>
      </w:hyperlink>
      <w:r>
        <w:t xml:space="preserve"> - </w:t>
      </w:r>
      <w:hyperlink r:id="rId22" w:history="1">
        <w:r>
          <w:rPr>
            <w:color w:val="0000FF"/>
          </w:rPr>
          <w:t>6 статьи 66</w:t>
        </w:r>
      </w:hyperlink>
      <w:r>
        <w:t xml:space="preserve"> настоящего Федерального закона и инструкция по ее заполнению. При этом не допускается установление требований, влекущих за собой ограничение количества участников такого аукциона или ограничение доступа к участию в таком аукционе.</w:t>
      </w:r>
    </w:p>
    <w:p w:rsidR="00A51173" w:rsidRDefault="00A51173">
      <w:pPr>
        <w:pStyle w:val="ConsPlusNormal"/>
        <w:spacing w:before="220"/>
        <w:ind w:firstLine="540"/>
        <w:jc w:val="both"/>
      </w:pPr>
      <w:proofErr w:type="gramStart"/>
      <w:r>
        <w:t xml:space="preserve">Из </w:t>
      </w:r>
      <w:hyperlink r:id="rId23" w:history="1">
        <w:r>
          <w:rPr>
            <w:color w:val="0000FF"/>
          </w:rPr>
          <w:t>письма</w:t>
        </w:r>
      </w:hyperlink>
      <w:r>
        <w:t xml:space="preserve"> ФАС России от 01.07.2016 N ИА/44536/16 "Об установлении заказчиком требований к составу, инструкции по заполнению заявки на участие в закупке" следует, что в случае установления заказчиком в документации, извещении о закупке требований об одновременном соответствии предлагаемых участниками показателей товара как значениям, предусмотренным Стандартом, так и значениям, указанным в документации, извещении о закупке, последние не должны противоречить</w:t>
      </w:r>
      <w:proofErr w:type="gramEnd"/>
      <w:r>
        <w:t xml:space="preserve"> требованиям Стандарта, а также не должны вводить участников закупки в заблуждение и позволять указать в заявке противоречащие положениям Стандарта показатели и (или) их значения. При установлении заказчиком в документации, извещении о закупке требований к описанию участниками закупки товаров следует учесть, что </w:t>
      </w:r>
      <w:hyperlink r:id="rId24" w:history="1">
        <w:r>
          <w:rPr>
            <w:color w:val="0000FF"/>
          </w:rPr>
          <w:t>Закон</w:t>
        </w:r>
      </w:hyperlink>
      <w:r>
        <w:t xml:space="preserve"> о контрактной системе не обязывает участника закупки иметь в наличии товар в момент подачи заявки, в </w:t>
      </w:r>
      <w:proofErr w:type="gramStart"/>
      <w:r>
        <w:t>связи</w:t>
      </w:r>
      <w:proofErr w:type="gramEnd"/>
      <w:r>
        <w:t xml:space="preserve"> с чем требования заказчика подробно описать в заявке (путем предоставления показателей и (или) их значений, как в виде одного значения, диапазона значений, так и сохранения неизменного значения) химический состав и (или) компоненты товара, и (или) показатели технологии производства, испытания товара, и (или) показатели, </w:t>
      </w:r>
      <w:r>
        <w:lastRenderedPageBreak/>
        <w:t>значения которых становятся известными при испытании определенной партии товара после его производства, имеют признаки ограничения доступа к участию в закупке.</w:t>
      </w:r>
    </w:p>
    <w:p w:rsidR="00A51173" w:rsidRDefault="00A51173">
      <w:pPr>
        <w:pStyle w:val="ConsPlusNormal"/>
        <w:spacing w:before="220"/>
        <w:ind w:firstLine="540"/>
        <w:jc w:val="both"/>
      </w:pPr>
      <w:proofErr w:type="gramStart"/>
      <w:r>
        <w:t>- в случае установления заказчиком в документации, извещении о закупке требований об одновременном соответствии предлагаемых участниками показателей товара как значениям, предусмотренным Стандартом, так и значениям, указанным в документации, извещении о закупке, последние не должны противоречить требованиям Стандарта, а также не должны вводить участников закупки в заблуждение и позволять указать в заявке противоречащие положениям Стандарта показатели и (или) их значения.</w:t>
      </w:r>
      <w:proofErr w:type="gramEnd"/>
    </w:p>
    <w:p w:rsidR="00A51173" w:rsidRDefault="00A51173">
      <w:pPr>
        <w:pStyle w:val="ConsPlusNormal"/>
        <w:spacing w:before="220"/>
        <w:ind w:firstLine="540"/>
        <w:jc w:val="both"/>
      </w:pPr>
      <w:r>
        <w:t>Так, например, если показатель в Стандарте определен любым допустимым значением от 10 до 20 единиц, то значения, содержащиеся в документации, извещении о закупке и в отношении которых участники закупки делают свое предложение, не должны:</w:t>
      </w:r>
    </w:p>
    <w:p w:rsidR="00A51173" w:rsidRDefault="00A51173">
      <w:pPr>
        <w:pStyle w:val="ConsPlusNormal"/>
        <w:spacing w:before="220"/>
        <w:ind w:firstLine="540"/>
        <w:jc w:val="both"/>
      </w:pPr>
      <w:r>
        <w:t>1) позволять участникам закупки указать в своих заявках значения, которые противоречат требованиям Стандарта, например значение - 5 единиц;</w:t>
      </w:r>
    </w:p>
    <w:p w:rsidR="00A51173" w:rsidRDefault="00A51173">
      <w:pPr>
        <w:pStyle w:val="ConsPlusNormal"/>
        <w:spacing w:before="220"/>
        <w:ind w:firstLine="540"/>
        <w:jc w:val="both"/>
      </w:pPr>
      <w:r>
        <w:t>2) вводить участников закупки в заблуждение, предусматривая в документации значения, например от 10 до 30 единиц, которые впоследствии могут рассматриваться комиссией заказчика по осуществлению закупок как соответствующие значениям документации, извещения о проведении закупки, но в свою очередь противоречащие требованиям Стандарта, что повлечет отклонение заявки участника закупки.</w:t>
      </w:r>
    </w:p>
    <w:p w:rsidR="00A51173" w:rsidRDefault="00A51173">
      <w:pPr>
        <w:pStyle w:val="ConsPlusNormal"/>
        <w:spacing w:before="220"/>
        <w:ind w:firstLine="540"/>
        <w:jc w:val="both"/>
      </w:pPr>
      <w:r>
        <w:t>В приложении N 1 к аукционной документации "Описание объекта закупки" установлены следующие требования к товарам (материалам), используемым при выполнении работ:</w:t>
      </w:r>
    </w:p>
    <w:p w:rsidR="00A51173" w:rsidRDefault="00A5117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361"/>
        <w:gridCol w:w="1247"/>
        <w:gridCol w:w="3231"/>
        <w:gridCol w:w="2662"/>
      </w:tblGrid>
      <w:tr w:rsidR="00A51173">
        <w:tc>
          <w:tcPr>
            <w:tcW w:w="566" w:type="dxa"/>
            <w:vMerge w:val="restart"/>
          </w:tcPr>
          <w:p w:rsidR="00A51173" w:rsidRDefault="00A51173">
            <w:pPr>
              <w:pStyle w:val="ConsPlusNormal"/>
            </w:pPr>
            <w:r>
              <w:t xml:space="preserve">NN </w:t>
            </w:r>
            <w:proofErr w:type="spellStart"/>
            <w:r>
              <w:t>пп</w:t>
            </w:r>
            <w:proofErr w:type="spellEnd"/>
          </w:p>
        </w:tc>
        <w:tc>
          <w:tcPr>
            <w:tcW w:w="1361" w:type="dxa"/>
            <w:vMerge w:val="restart"/>
          </w:tcPr>
          <w:p w:rsidR="00A51173" w:rsidRDefault="00A51173">
            <w:pPr>
              <w:pStyle w:val="ConsPlusNormal"/>
            </w:pPr>
            <w:r>
              <w:t>Наименование товара (материала)</w:t>
            </w:r>
          </w:p>
        </w:tc>
        <w:tc>
          <w:tcPr>
            <w:tcW w:w="1247" w:type="dxa"/>
            <w:vMerge w:val="restart"/>
          </w:tcPr>
          <w:p w:rsidR="00A51173" w:rsidRDefault="00A51173">
            <w:pPr>
              <w:pStyle w:val="ConsPlusNormal"/>
            </w:pPr>
            <w:r>
              <w:t>Товарный знак (при наличии)</w:t>
            </w:r>
          </w:p>
        </w:tc>
        <w:tc>
          <w:tcPr>
            <w:tcW w:w="5893" w:type="dxa"/>
            <w:gridSpan w:val="2"/>
          </w:tcPr>
          <w:p w:rsidR="00A51173" w:rsidRDefault="00A51173">
            <w:pPr>
              <w:pStyle w:val="ConsPlusNormal"/>
            </w:pPr>
            <w:r>
              <w:t>Технические и функциональные параметры товара (материала), по которым будет устанавливаться соответствие потребностям заказчика или эквивалентность предлагаемого к поставке товара (материала)</w:t>
            </w:r>
          </w:p>
        </w:tc>
      </w:tr>
      <w:tr w:rsidR="00A51173">
        <w:tc>
          <w:tcPr>
            <w:tcW w:w="566" w:type="dxa"/>
            <w:vMerge/>
          </w:tcPr>
          <w:p w:rsidR="00A51173" w:rsidRDefault="00A51173"/>
        </w:tc>
        <w:tc>
          <w:tcPr>
            <w:tcW w:w="1361" w:type="dxa"/>
            <w:vMerge/>
          </w:tcPr>
          <w:p w:rsidR="00A51173" w:rsidRDefault="00A51173"/>
        </w:tc>
        <w:tc>
          <w:tcPr>
            <w:tcW w:w="1247" w:type="dxa"/>
            <w:vMerge/>
          </w:tcPr>
          <w:p w:rsidR="00A51173" w:rsidRDefault="00A51173"/>
        </w:tc>
        <w:tc>
          <w:tcPr>
            <w:tcW w:w="3231" w:type="dxa"/>
          </w:tcPr>
          <w:p w:rsidR="00A51173" w:rsidRDefault="00A51173">
            <w:pPr>
              <w:pStyle w:val="ConsPlusNormal"/>
            </w:pPr>
            <w:r>
              <w:t>Наименование показателя, технического, функционального параметра</w:t>
            </w:r>
          </w:p>
        </w:tc>
        <w:tc>
          <w:tcPr>
            <w:tcW w:w="2662" w:type="dxa"/>
          </w:tcPr>
          <w:p w:rsidR="00A51173" w:rsidRDefault="00A51173">
            <w:pPr>
              <w:pStyle w:val="ConsPlusNormal"/>
            </w:pPr>
            <w:r>
              <w:t>Значение показателя, параметра</w:t>
            </w:r>
          </w:p>
        </w:tc>
      </w:tr>
      <w:tr w:rsidR="00A51173">
        <w:tc>
          <w:tcPr>
            <w:tcW w:w="566" w:type="dxa"/>
          </w:tcPr>
          <w:p w:rsidR="00A51173" w:rsidRDefault="00A51173">
            <w:pPr>
              <w:pStyle w:val="ConsPlusNormal"/>
            </w:pPr>
            <w:r>
              <w:t>1</w:t>
            </w:r>
          </w:p>
        </w:tc>
        <w:tc>
          <w:tcPr>
            <w:tcW w:w="1361" w:type="dxa"/>
          </w:tcPr>
          <w:p w:rsidR="00A51173" w:rsidRDefault="00A51173">
            <w:pPr>
              <w:pStyle w:val="ConsPlusNormal"/>
            </w:pPr>
            <w:r>
              <w:t>2</w:t>
            </w:r>
          </w:p>
        </w:tc>
        <w:tc>
          <w:tcPr>
            <w:tcW w:w="1247" w:type="dxa"/>
          </w:tcPr>
          <w:p w:rsidR="00A51173" w:rsidRDefault="00A51173">
            <w:pPr>
              <w:pStyle w:val="ConsPlusNormal"/>
            </w:pPr>
            <w:r>
              <w:t>3</w:t>
            </w:r>
          </w:p>
        </w:tc>
        <w:tc>
          <w:tcPr>
            <w:tcW w:w="3231" w:type="dxa"/>
          </w:tcPr>
          <w:p w:rsidR="00A51173" w:rsidRDefault="00A51173">
            <w:pPr>
              <w:pStyle w:val="ConsPlusNormal"/>
            </w:pPr>
            <w:r>
              <w:t>4</w:t>
            </w:r>
          </w:p>
        </w:tc>
        <w:tc>
          <w:tcPr>
            <w:tcW w:w="2662" w:type="dxa"/>
          </w:tcPr>
          <w:p w:rsidR="00A51173" w:rsidRDefault="00A51173">
            <w:pPr>
              <w:pStyle w:val="ConsPlusNormal"/>
            </w:pPr>
            <w:r>
              <w:t>5</w:t>
            </w:r>
          </w:p>
        </w:tc>
      </w:tr>
      <w:tr w:rsidR="00A51173">
        <w:tc>
          <w:tcPr>
            <w:tcW w:w="9067" w:type="dxa"/>
            <w:gridSpan w:val="5"/>
          </w:tcPr>
          <w:p w:rsidR="00A51173" w:rsidRDefault="00A51173">
            <w:pPr>
              <w:pStyle w:val="ConsPlusNormal"/>
              <w:jc w:val="center"/>
            </w:pPr>
            <w:r>
              <w:t xml:space="preserve">Ремонт ул. </w:t>
            </w:r>
            <w:proofErr w:type="gramStart"/>
            <w:r>
              <w:t>Советской</w:t>
            </w:r>
            <w:proofErr w:type="gramEnd"/>
            <w:r>
              <w:t xml:space="preserve"> от ул. Гагарина до ул. Пушкина в г. Кропоткине</w:t>
            </w:r>
          </w:p>
        </w:tc>
      </w:tr>
      <w:tr w:rsidR="00A51173">
        <w:tc>
          <w:tcPr>
            <w:tcW w:w="566" w:type="dxa"/>
            <w:vMerge w:val="restart"/>
          </w:tcPr>
          <w:p w:rsidR="00A51173" w:rsidRDefault="00A51173">
            <w:pPr>
              <w:pStyle w:val="ConsPlusNormal"/>
            </w:pPr>
            <w:r>
              <w:t>5</w:t>
            </w:r>
          </w:p>
        </w:tc>
        <w:tc>
          <w:tcPr>
            <w:tcW w:w="1361" w:type="dxa"/>
            <w:vMerge w:val="restart"/>
          </w:tcPr>
          <w:p w:rsidR="00A51173" w:rsidRDefault="00A51173">
            <w:pPr>
              <w:pStyle w:val="ConsPlusNormal"/>
            </w:pPr>
            <w:r>
              <w:t>Смесь</w:t>
            </w:r>
          </w:p>
        </w:tc>
        <w:tc>
          <w:tcPr>
            <w:tcW w:w="1247" w:type="dxa"/>
            <w:vMerge w:val="restart"/>
            <w:vAlign w:val="center"/>
          </w:tcPr>
          <w:p w:rsidR="00A51173" w:rsidRDefault="00A51173">
            <w:pPr>
              <w:pStyle w:val="ConsPlusNormal"/>
            </w:pPr>
          </w:p>
        </w:tc>
        <w:tc>
          <w:tcPr>
            <w:tcW w:w="3231" w:type="dxa"/>
            <w:vAlign w:val="center"/>
          </w:tcPr>
          <w:p w:rsidR="00A51173" w:rsidRDefault="00A51173">
            <w:pPr>
              <w:pStyle w:val="ConsPlusNormal"/>
            </w:pPr>
            <w:r>
              <w:t>Описание</w:t>
            </w:r>
          </w:p>
        </w:tc>
        <w:tc>
          <w:tcPr>
            <w:tcW w:w="2662" w:type="dxa"/>
            <w:vAlign w:val="center"/>
          </w:tcPr>
          <w:p w:rsidR="00A51173" w:rsidRDefault="00A51173">
            <w:pPr>
              <w:pStyle w:val="ConsPlusNormal"/>
            </w:pPr>
            <w:proofErr w:type="gramStart"/>
            <w:r>
              <w:t>Требуется песчано-гравийная природная должна</w:t>
            </w:r>
            <w:proofErr w:type="gramEnd"/>
            <w:r>
              <w:t xml:space="preserve"> быть обогащенная с содержанием гравия</w:t>
            </w:r>
          </w:p>
        </w:tc>
      </w:tr>
      <w:tr w:rsidR="00A51173">
        <w:tc>
          <w:tcPr>
            <w:tcW w:w="566" w:type="dxa"/>
            <w:vMerge/>
          </w:tcPr>
          <w:p w:rsidR="00A51173" w:rsidRDefault="00A51173"/>
        </w:tc>
        <w:tc>
          <w:tcPr>
            <w:tcW w:w="1361" w:type="dxa"/>
            <w:vMerge/>
          </w:tcPr>
          <w:p w:rsidR="00A51173" w:rsidRDefault="00A51173"/>
        </w:tc>
        <w:tc>
          <w:tcPr>
            <w:tcW w:w="1247" w:type="dxa"/>
            <w:vMerge/>
          </w:tcPr>
          <w:p w:rsidR="00A51173" w:rsidRDefault="00A51173"/>
        </w:tc>
        <w:tc>
          <w:tcPr>
            <w:tcW w:w="3231" w:type="dxa"/>
            <w:vAlign w:val="center"/>
          </w:tcPr>
          <w:p w:rsidR="00A51173" w:rsidRDefault="00A51173">
            <w:pPr>
              <w:pStyle w:val="ConsPlusNormal"/>
            </w:pPr>
            <w:r>
              <w:t>группа</w:t>
            </w:r>
          </w:p>
        </w:tc>
        <w:tc>
          <w:tcPr>
            <w:tcW w:w="2662" w:type="dxa"/>
            <w:vAlign w:val="center"/>
          </w:tcPr>
          <w:p w:rsidR="00A51173" w:rsidRDefault="00A51173">
            <w:pPr>
              <w:pStyle w:val="ConsPlusNormal"/>
            </w:pPr>
            <w:r>
              <w:t>Не хуже 5</w:t>
            </w:r>
          </w:p>
        </w:tc>
      </w:tr>
      <w:tr w:rsidR="00A51173">
        <w:tc>
          <w:tcPr>
            <w:tcW w:w="566" w:type="dxa"/>
            <w:vMerge/>
          </w:tcPr>
          <w:p w:rsidR="00A51173" w:rsidRDefault="00A51173"/>
        </w:tc>
        <w:tc>
          <w:tcPr>
            <w:tcW w:w="1361" w:type="dxa"/>
            <w:vMerge/>
          </w:tcPr>
          <w:p w:rsidR="00A51173" w:rsidRDefault="00A51173"/>
        </w:tc>
        <w:tc>
          <w:tcPr>
            <w:tcW w:w="1247" w:type="dxa"/>
            <w:vMerge/>
          </w:tcPr>
          <w:p w:rsidR="00A51173" w:rsidRDefault="00A51173"/>
        </w:tc>
        <w:tc>
          <w:tcPr>
            <w:tcW w:w="3231" w:type="dxa"/>
            <w:vAlign w:val="center"/>
          </w:tcPr>
          <w:p w:rsidR="00A51173" w:rsidRDefault="00A51173">
            <w:pPr>
              <w:pStyle w:val="ConsPlusNormal"/>
            </w:pPr>
            <w:r>
              <w:t>содержание гравия диапазон, %</w:t>
            </w:r>
          </w:p>
        </w:tc>
        <w:tc>
          <w:tcPr>
            <w:tcW w:w="2662" w:type="dxa"/>
            <w:vAlign w:val="center"/>
          </w:tcPr>
          <w:p w:rsidR="00A51173" w:rsidRDefault="00A51173">
            <w:pPr>
              <w:pStyle w:val="ConsPlusNormal"/>
            </w:pPr>
            <w:r>
              <w:t>65 - 75</w:t>
            </w:r>
          </w:p>
        </w:tc>
      </w:tr>
      <w:tr w:rsidR="00A51173">
        <w:tc>
          <w:tcPr>
            <w:tcW w:w="566" w:type="dxa"/>
            <w:vMerge/>
          </w:tcPr>
          <w:p w:rsidR="00A51173" w:rsidRDefault="00A51173"/>
        </w:tc>
        <w:tc>
          <w:tcPr>
            <w:tcW w:w="1361" w:type="dxa"/>
            <w:vMerge/>
          </w:tcPr>
          <w:p w:rsidR="00A51173" w:rsidRDefault="00A51173"/>
        </w:tc>
        <w:tc>
          <w:tcPr>
            <w:tcW w:w="1247" w:type="dxa"/>
            <w:vMerge/>
          </w:tcPr>
          <w:p w:rsidR="00A51173" w:rsidRDefault="00A51173"/>
        </w:tc>
        <w:tc>
          <w:tcPr>
            <w:tcW w:w="3231" w:type="dxa"/>
            <w:vAlign w:val="center"/>
          </w:tcPr>
          <w:p w:rsidR="00A51173" w:rsidRDefault="00A51173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ГОСТ 23735-2014</w:t>
              </w:r>
            </w:hyperlink>
          </w:p>
        </w:tc>
        <w:tc>
          <w:tcPr>
            <w:tcW w:w="2662" w:type="dxa"/>
            <w:vAlign w:val="center"/>
          </w:tcPr>
          <w:p w:rsidR="00A51173" w:rsidRDefault="00A51173">
            <w:pPr>
              <w:pStyle w:val="ConsPlusNormal"/>
            </w:pPr>
            <w:r>
              <w:t>Соответствие</w:t>
            </w:r>
          </w:p>
        </w:tc>
      </w:tr>
      <w:tr w:rsidR="00A51173">
        <w:tc>
          <w:tcPr>
            <w:tcW w:w="566" w:type="dxa"/>
            <w:vMerge w:val="restart"/>
          </w:tcPr>
          <w:p w:rsidR="00A51173" w:rsidRDefault="00A51173">
            <w:pPr>
              <w:pStyle w:val="ConsPlusNormal"/>
            </w:pPr>
            <w:r>
              <w:t>6</w:t>
            </w:r>
          </w:p>
        </w:tc>
        <w:tc>
          <w:tcPr>
            <w:tcW w:w="1361" w:type="dxa"/>
            <w:vMerge w:val="restart"/>
          </w:tcPr>
          <w:p w:rsidR="00A51173" w:rsidRDefault="00A51173">
            <w:pPr>
              <w:pStyle w:val="ConsPlusNormal"/>
            </w:pPr>
            <w:r>
              <w:t>Бетон</w:t>
            </w:r>
          </w:p>
        </w:tc>
        <w:tc>
          <w:tcPr>
            <w:tcW w:w="1247" w:type="dxa"/>
            <w:vMerge w:val="restart"/>
            <w:vAlign w:val="center"/>
          </w:tcPr>
          <w:p w:rsidR="00A51173" w:rsidRDefault="00A51173">
            <w:pPr>
              <w:pStyle w:val="ConsPlusNormal"/>
            </w:pPr>
          </w:p>
        </w:tc>
        <w:tc>
          <w:tcPr>
            <w:tcW w:w="3231" w:type="dxa"/>
            <w:vAlign w:val="center"/>
          </w:tcPr>
          <w:p w:rsidR="00A51173" w:rsidRDefault="00A51173">
            <w:pPr>
              <w:pStyle w:val="ConsPlusNormal"/>
            </w:pPr>
            <w:r>
              <w:t>Описание</w:t>
            </w:r>
          </w:p>
        </w:tc>
        <w:tc>
          <w:tcPr>
            <w:tcW w:w="2662" w:type="dxa"/>
            <w:vAlign w:val="center"/>
          </w:tcPr>
          <w:p w:rsidR="00A51173" w:rsidRDefault="00A51173">
            <w:pPr>
              <w:pStyle w:val="ConsPlusNormal"/>
            </w:pPr>
            <w:r>
              <w:t>Требуется тяжелый</w:t>
            </w:r>
          </w:p>
        </w:tc>
      </w:tr>
      <w:tr w:rsidR="00A51173">
        <w:tc>
          <w:tcPr>
            <w:tcW w:w="566" w:type="dxa"/>
            <w:vMerge/>
          </w:tcPr>
          <w:p w:rsidR="00A51173" w:rsidRDefault="00A51173"/>
        </w:tc>
        <w:tc>
          <w:tcPr>
            <w:tcW w:w="1361" w:type="dxa"/>
            <w:vMerge/>
          </w:tcPr>
          <w:p w:rsidR="00A51173" w:rsidRDefault="00A51173"/>
        </w:tc>
        <w:tc>
          <w:tcPr>
            <w:tcW w:w="1247" w:type="dxa"/>
            <w:vMerge/>
          </w:tcPr>
          <w:p w:rsidR="00A51173" w:rsidRDefault="00A51173"/>
        </w:tc>
        <w:tc>
          <w:tcPr>
            <w:tcW w:w="3231" w:type="dxa"/>
          </w:tcPr>
          <w:p w:rsidR="00A51173" w:rsidRDefault="00A51173">
            <w:pPr>
              <w:pStyle w:val="ConsPlusNormal"/>
            </w:pPr>
            <w:r>
              <w:t>Класс бетона по прочности на сжатие</w:t>
            </w:r>
          </w:p>
        </w:tc>
        <w:tc>
          <w:tcPr>
            <w:tcW w:w="2662" w:type="dxa"/>
          </w:tcPr>
          <w:p w:rsidR="00A51173" w:rsidRDefault="00A51173">
            <w:pPr>
              <w:pStyle w:val="ConsPlusNormal"/>
            </w:pPr>
            <w:r>
              <w:t>Более В12.5</w:t>
            </w:r>
          </w:p>
        </w:tc>
      </w:tr>
      <w:tr w:rsidR="00A51173">
        <w:tc>
          <w:tcPr>
            <w:tcW w:w="566" w:type="dxa"/>
            <w:vMerge/>
          </w:tcPr>
          <w:p w:rsidR="00A51173" w:rsidRDefault="00A51173"/>
        </w:tc>
        <w:tc>
          <w:tcPr>
            <w:tcW w:w="1361" w:type="dxa"/>
            <w:vMerge/>
          </w:tcPr>
          <w:p w:rsidR="00A51173" w:rsidRDefault="00A51173"/>
        </w:tc>
        <w:tc>
          <w:tcPr>
            <w:tcW w:w="1247" w:type="dxa"/>
            <w:vMerge/>
          </w:tcPr>
          <w:p w:rsidR="00A51173" w:rsidRDefault="00A51173"/>
        </w:tc>
        <w:tc>
          <w:tcPr>
            <w:tcW w:w="3231" w:type="dxa"/>
          </w:tcPr>
          <w:p w:rsidR="00A51173" w:rsidRDefault="00A51173">
            <w:pPr>
              <w:pStyle w:val="ConsPlusNormal"/>
            </w:pPr>
            <w:r>
              <w:t xml:space="preserve">Марка бетона по </w:t>
            </w:r>
            <w:r>
              <w:lastRenderedPageBreak/>
              <w:t>морозостойкости по первому базовому методу, не ниже</w:t>
            </w:r>
          </w:p>
        </w:tc>
        <w:tc>
          <w:tcPr>
            <w:tcW w:w="2662" w:type="dxa"/>
          </w:tcPr>
          <w:p w:rsidR="00A51173" w:rsidRDefault="00A51173">
            <w:pPr>
              <w:pStyle w:val="ConsPlusNormal"/>
            </w:pPr>
            <w:r>
              <w:lastRenderedPageBreak/>
              <w:t>F150</w:t>
            </w:r>
          </w:p>
        </w:tc>
      </w:tr>
      <w:tr w:rsidR="00A51173">
        <w:tc>
          <w:tcPr>
            <w:tcW w:w="566" w:type="dxa"/>
            <w:vMerge/>
          </w:tcPr>
          <w:p w:rsidR="00A51173" w:rsidRDefault="00A51173"/>
        </w:tc>
        <w:tc>
          <w:tcPr>
            <w:tcW w:w="1361" w:type="dxa"/>
            <w:vMerge/>
          </w:tcPr>
          <w:p w:rsidR="00A51173" w:rsidRDefault="00A51173"/>
        </w:tc>
        <w:tc>
          <w:tcPr>
            <w:tcW w:w="1247" w:type="dxa"/>
            <w:vMerge/>
          </w:tcPr>
          <w:p w:rsidR="00A51173" w:rsidRDefault="00A51173"/>
        </w:tc>
        <w:tc>
          <w:tcPr>
            <w:tcW w:w="3231" w:type="dxa"/>
          </w:tcPr>
          <w:p w:rsidR="00A51173" w:rsidRDefault="00A51173">
            <w:pPr>
              <w:pStyle w:val="ConsPlusNormal"/>
            </w:pPr>
            <w:r>
              <w:t>Марка бетона по водонепроницаемости, не выше</w:t>
            </w:r>
          </w:p>
        </w:tc>
        <w:tc>
          <w:tcPr>
            <w:tcW w:w="2662" w:type="dxa"/>
          </w:tcPr>
          <w:p w:rsidR="00A51173" w:rsidRDefault="00A51173">
            <w:pPr>
              <w:pStyle w:val="ConsPlusNormal"/>
            </w:pPr>
            <w:r>
              <w:t>W6</w:t>
            </w:r>
          </w:p>
        </w:tc>
      </w:tr>
      <w:tr w:rsidR="00A51173">
        <w:tc>
          <w:tcPr>
            <w:tcW w:w="566" w:type="dxa"/>
            <w:vMerge/>
          </w:tcPr>
          <w:p w:rsidR="00A51173" w:rsidRDefault="00A51173"/>
        </w:tc>
        <w:tc>
          <w:tcPr>
            <w:tcW w:w="1361" w:type="dxa"/>
            <w:vMerge/>
          </w:tcPr>
          <w:p w:rsidR="00A51173" w:rsidRDefault="00A51173"/>
        </w:tc>
        <w:tc>
          <w:tcPr>
            <w:tcW w:w="1247" w:type="dxa"/>
            <w:vMerge/>
          </w:tcPr>
          <w:p w:rsidR="00A51173" w:rsidRDefault="00A51173"/>
        </w:tc>
        <w:tc>
          <w:tcPr>
            <w:tcW w:w="3231" w:type="dxa"/>
          </w:tcPr>
          <w:p w:rsidR="00A51173" w:rsidRDefault="00A51173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ГОСТ 26633-2015</w:t>
              </w:r>
            </w:hyperlink>
          </w:p>
        </w:tc>
        <w:tc>
          <w:tcPr>
            <w:tcW w:w="2662" w:type="dxa"/>
          </w:tcPr>
          <w:p w:rsidR="00A51173" w:rsidRDefault="00A51173">
            <w:pPr>
              <w:pStyle w:val="ConsPlusNormal"/>
            </w:pPr>
            <w:r>
              <w:t>Соответствие</w:t>
            </w:r>
          </w:p>
        </w:tc>
      </w:tr>
      <w:tr w:rsidR="00A51173">
        <w:tc>
          <w:tcPr>
            <w:tcW w:w="566" w:type="dxa"/>
            <w:vMerge w:val="restart"/>
          </w:tcPr>
          <w:p w:rsidR="00A51173" w:rsidRDefault="00A51173">
            <w:pPr>
              <w:pStyle w:val="ConsPlusNormal"/>
            </w:pPr>
            <w:r>
              <w:t>8</w:t>
            </w:r>
          </w:p>
        </w:tc>
        <w:tc>
          <w:tcPr>
            <w:tcW w:w="1361" w:type="dxa"/>
            <w:vMerge w:val="restart"/>
          </w:tcPr>
          <w:p w:rsidR="00A51173" w:rsidRDefault="00A51173">
            <w:pPr>
              <w:pStyle w:val="ConsPlusNormal"/>
            </w:pPr>
            <w:r>
              <w:t>Раствор</w:t>
            </w:r>
          </w:p>
        </w:tc>
        <w:tc>
          <w:tcPr>
            <w:tcW w:w="1247" w:type="dxa"/>
            <w:vMerge w:val="restart"/>
            <w:vAlign w:val="center"/>
          </w:tcPr>
          <w:p w:rsidR="00A51173" w:rsidRDefault="00A51173">
            <w:pPr>
              <w:pStyle w:val="ConsPlusNormal"/>
            </w:pPr>
          </w:p>
        </w:tc>
        <w:tc>
          <w:tcPr>
            <w:tcW w:w="3231" w:type="dxa"/>
          </w:tcPr>
          <w:p w:rsidR="00A51173" w:rsidRDefault="00A51173">
            <w:pPr>
              <w:pStyle w:val="ConsPlusNormal"/>
            </w:pPr>
            <w:r>
              <w:t>Описание</w:t>
            </w:r>
          </w:p>
        </w:tc>
        <w:tc>
          <w:tcPr>
            <w:tcW w:w="2662" w:type="dxa"/>
          </w:tcPr>
          <w:p w:rsidR="00A51173" w:rsidRDefault="00A51173">
            <w:pPr>
              <w:pStyle w:val="ConsPlusNormal"/>
            </w:pPr>
            <w:proofErr w:type="gramStart"/>
            <w:r>
              <w:t>Должный</w:t>
            </w:r>
            <w:proofErr w:type="gramEnd"/>
            <w:r>
              <w:t xml:space="preserve"> быть готовый кладочный</w:t>
            </w:r>
          </w:p>
        </w:tc>
      </w:tr>
      <w:tr w:rsidR="00A51173">
        <w:tc>
          <w:tcPr>
            <w:tcW w:w="566" w:type="dxa"/>
            <w:vMerge/>
          </w:tcPr>
          <w:p w:rsidR="00A51173" w:rsidRDefault="00A51173"/>
        </w:tc>
        <w:tc>
          <w:tcPr>
            <w:tcW w:w="1361" w:type="dxa"/>
            <w:vMerge/>
          </w:tcPr>
          <w:p w:rsidR="00A51173" w:rsidRDefault="00A51173"/>
        </w:tc>
        <w:tc>
          <w:tcPr>
            <w:tcW w:w="1247" w:type="dxa"/>
            <w:vMerge/>
          </w:tcPr>
          <w:p w:rsidR="00A51173" w:rsidRDefault="00A51173"/>
        </w:tc>
        <w:tc>
          <w:tcPr>
            <w:tcW w:w="3231" w:type="dxa"/>
            <w:vAlign w:val="center"/>
          </w:tcPr>
          <w:p w:rsidR="00A51173" w:rsidRDefault="00A51173">
            <w:pPr>
              <w:pStyle w:val="ConsPlusNormal"/>
            </w:pPr>
            <w:r>
              <w:t>Состав раствора</w:t>
            </w:r>
          </w:p>
        </w:tc>
        <w:tc>
          <w:tcPr>
            <w:tcW w:w="2662" w:type="dxa"/>
            <w:vAlign w:val="center"/>
          </w:tcPr>
          <w:p w:rsidR="00A51173" w:rsidRDefault="00A51173">
            <w:pPr>
              <w:pStyle w:val="ConsPlusNormal"/>
            </w:pPr>
            <w:r>
              <w:t>цементный</w:t>
            </w:r>
          </w:p>
        </w:tc>
      </w:tr>
      <w:tr w:rsidR="00A51173">
        <w:tc>
          <w:tcPr>
            <w:tcW w:w="566" w:type="dxa"/>
            <w:vMerge/>
          </w:tcPr>
          <w:p w:rsidR="00A51173" w:rsidRDefault="00A51173"/>
        </w:tc>
        <w:tc>
          <w:tcPr>
            <w:tcW w:w="1361" w:type="dxa"/>
            <w:vMerge/>
          </w:tcPr>
          <w:p w:rsidR="00A51173" w:rsidRDefault="00A51173"/>
        </w:tc>
        <w:tc>
          <w:tcPr>
            <w:tcW w:w="1247" w:type="dxa"/>
            <w:vMerge/>
          </w:tcPr>
          <w:p w:rsidR="00A51173" w:rsidRDefault="00A51173"/>
        </w:tc>
        <w:tc>
          <w:tcPr>
            <w:tcW w:w="3231" w:type="dxa"/>
            <w:vAlign w:val="center"/>
          </w:tcPr>
          <w:p w:rsidR="00A51173" w:rsidRDefault="00A51173">
            <w:pPr>
              <w:pStyle w:val="ConsPlusNormal"/>
            </w:pPr>
            <w:r>
              <w:t>Марка раствора</w:t>
            </w:r>
          </w:p>
        </w:tc>
        <w:tc>
          <w:tcPr>
            <w:tcW w:w="2662" w:type="dxa"/>
            <w:vAlign w:val="center"/>
          </w:tcPr>
          <w:p w:rsidR="00A51173" w:rsidRDefault="00A51173">
            <w:pPr>
              <w:pStyle w:val="ConsPlusNormal"/>
            </w:pPr>
            <w:r>
              <w:t>Не ниже 100</w:t>
            </w:r>
          </w:p>
        </w:tc>
      </w:tr>
      <w:tr w:rsidR="00A51173">
        <w:tc>
          <w:tcPr>
            <w:tcW w:w="566" w:type="dxa"/>
            <w:vMerge/>
          </w:tcPr>
          <w:p w:rsidR="00A51173" w:rsidRDefault="00A51173"/>
        </w:tc>
        <w:tc>
          <w:tcPr>
            <w:tcW w:w="1361" w:type="dxa"/>
            <w:vMerge/>
          </w:tcPr>
          <w:p w:rsidR="00A51173" w:rsidRDefault="00A51173"/>
        </w:tc>
        <w:tc>
          <w:tcPr>
            <w:tcW w:w="1247" w:type="dxa"/>
            <w:vMerge/>
          </w:tcPr>
          <w:p w:rsidR="00A51173" w:rsidRDefault="00A51173"/>
        </w:tc>
        <w:tc>
          <w:tcPr>
            <w:tcW w:w="3231" w:type="dxa"/>
            <w:vAlign w:val="center"/>
          </w:tcPr>
          <w:p w:rsidR="00A51173" w:rsidRDefault="00A51173">
            <w:pPr>
              <w:pStyle w:val="ConsPlusNormal"/>
            </w:pPr>
            <w:r>
              <w:t>Марка по подвижности</w:t>
            </w:r>
          </w:p>
        </w:tc>
        <w:tc>
          <w:tcPr>
            <w:tcW w:w="2662" w:type="dxa"/>
            <w:vAlign w:val="center"/>
          </w:tcPr>
          <w:p w:rsidR="00A51173" w:rsidRDefault="00A51173">
            <w:pPr>
              <w:pStyle w:val="ConsPlusNormal"/>
            </w:pPr>
            <w:r>
              <w:t>Пк3, Пк</w:t>
            </w:r>
            <w:proofErr w:type="gramStart"/>
            <w:r>
              <w:t>4</w:t>
            </w:r>
            <w:proofErr w:type="gramEnd"/>
          </w:p>
        </w:tc>
      </w:tr>
      <w:tr w:rsidR="00A51173">
        <w:tc>
          <w:tcPr>
            <w:tcW w:w="566" w:type="dxa"/>
            <w:vMerge/>
          </w:tcPr>
          <w:p w:rsidR="00A51173" w:rsidRDefault="00A51173"/>
        </w:tc>
        <w:tc>
          <w:tcPr>
            <w:tcW w:w="1361" w:type="dxa"/>
            <w:vMerge/>
          </w:tcPr>
          <w:p w:rsidR="00A51173" w:rsidRDefault="00A51173"/>
        </w:tc>
        <w:tc>
          <w:tcPr>
            <w:tcW w:w="1247" w:type="dxa"/>
            <w:vMerge/>
          </w:tcPr>
          <w:p w:rsidR="00A51173" w:rsidRDefault="00A51173"/>
        </w:tc>
        <w:tc>
          <w:tcPr>
            <w:tcW w:w="3231" w:type="dxa"/>
            <w:vAlign w:val="center"/>
          </w:tcPr>
          <w:p w:rsidR="00A51173" w:rsidRDefault="00A51173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ГОСТ 28013-98</w:t>
              </w:r>
            </w:hyperlink>
          </w:p>
        </w:tc>
        <w:tc>
          <w:tcPr>
            <w:tcW w:w="2662" w:type="dxa"/>
            <w:vAlign w:val="center"/>
          </w:tcPr>
          <w:p w:rsidR="00A51173" w:rsidRDefault="00A51173">
            <w:pPr>
              <w:pStyle w:val="ConsPlusNormal"/>
            </w:pPr>
            <w:r>
              <w:t>Соответствие</w:t>
            </w:r>
          </w:p>
        </w:tc>
      </w:tr>
    </w:tbl>
    <w:p w:rsidR="00A51173" w:rsidRDefault="00A51173">
      <w:pPr>
        <w:pStyle w:val="ConsPlusNormal"/>
        <w:ind w:firstLine="540"/>
        <w:jc w:val="both"/>
      </w:pPr>
    </w:p>
    <w:p w:rsidR="00A51173" w:rsidRDefault="00A51173">
      <w:pPr>
        <w:pStyle w:val="ConsPlusNormal"/>
        <w:ind w:firstLine="540"/>
        <w:jc w:val="both"/>
      </w:pPr>
      <w:r>
        <w:t>По мнению заявителя, установленные заказчиком характеристики определяются по результатам испытаний.</w:t>
      </w:r>
    </w:p>
    <w:p w:rsidR="00A51173" w:rsidRDefault="00A51173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28" w:history="1">
        <w:r>
          <w:rPr>
            <w:color w:val="0000FF"/>
          </w:rPr>
          <w:t>п. 4.3.1</w:t>
        </w:r>
      </w:hyperlink>
      <w:r>
        <w:t xml:space="preserve"> ГОСТ 26633-2015 по показателям качества бетоны подразделяют:</w:t>
      </w:r>
    </w:p>
    <w:p w:rsidR="00A51173" w:rsidRDefault="00A51173">
      <w:pPr>
        <w:pStyle w:val="ConsPlusNormal"/>
        <w:spacing w:before="220"/>
        <w:ind w:firstLine="540"/>
        <w:jc w:val="both"/>
      </w:pPr>
      <w:r>
        <w:t>- по прочности: на классы прочности на сжатие: B3,5; B5; B7,5; B10; B12,5; B15; B20; B22,5; B25; B27,5; B30; B35; B40; B45; B50; B55; B60; B70; B80; B90; B100; B110; B120,</w:t>
      </w:r>
    </w:p>
    <w:p w:rsidR="00A51173" w:rsidRDefault="00A51173">
      <w:pPr>
        <w:pStyle w:val="ConsPlusNormal"/>
        <w:spacing w:before="220"/>
        <w:ind w:firstLine="540"/>
        <w:jc w:val="both"/>
      </w:pPr>
      <w:r>
        <w:t>- на классы прочности на осевое растяжение: B</w:t>
      </w:r>
      <w:r>
        <w:rPr>
          <w:vertAlign w:val="subscript"/>
        </w:rPr>
        <w:t>t</w:t>
      </w:r>
      <w:r>
        <w:t>0,8; B</w:t>
      </w:r>
      <w:r>
        <w:rPr>
          <w:vertAlign w:val="subscript"/>
        </w:rPr>
        <w:t>t</w:t>
      </w:r>
      <w:r>
        <w:t>1,2; B</w:t>
      </w:r>
      <w:r>
        <w:rPr>
          <w:vertAlign w:val="subscript"/>
        </w:rPr>
        <w:t>t</w:t>
      </w:r>
      <w:r>
        <w:t>1,6; B</w:t>
      </w:r>
      <w:r>
        <w:rPr>
          <w:vertAlign w:val="subscript"/>
        </w:rPr>
        <w:t>t</w:t>
      </w:r>
      <w:r>
        <w:t>2,0; B</w:t>
      </w:r>
      <w:r>
        <w:rPr>
          <w:vertAlign w:val="subscript"/>
        </w:rPr>
        <w:t>t</w:t>
      </w:r>
      <w:r>
        <w:t>2,4; B</w:t>
      </w:r>
      <w:r>
        <w:rPr>
          <w:vertAlign w:val="subscript"/>
        </w:rPr>
        <w:t>t</w:t>
      </w:r>
      <w:r>
        <w:t>2,8; B</w:t>
      </w:r>
      <w:r>
        <w:rPr>
          <w:vertAlign w:val="subscript"/>
        </w:rPr>
        <w:t>t</w:t>
      </w:r>
      <w:r>
        <w:t>3,2; B</w:t>
      </w:r>
      <w:r>
        <w:rPr>
          <w:vertAlign w:val="subscript"/>
        </w:rPr>
        <w:t>t</w:t>
      </w:r>
      <w:r>
        <w:t>3,6; B</w:t>
      </w:r>
      <w:r>
        <w:rPr>
          <w:vertAlign w:val="subscript"/>
        </w:rPr>
        <w:t>t</w:t>
      </w:r>
      <w:r>
        <w:t>4,0; B</w:t>
      </w:r>
      <w:r>
        <w:rPr>
          <w:vertAlign w:val="subscript"/>
        </w:rPr>
        <w:t>t</w:t>
      </w:r>
      <w:r>
        <w:t>4,4; B</w:t>
      </w:r>
      <w:r>
        <w:rPr>
          <w:vertAlign w:val="subscript"/>
        </w:rPr>
        <w:t>t</w:t>
      </w:r>
      <w:r>
        <w:t>4,8,</w:t>
      </w:r>
    </w:p>
    <w:p w:rsidR="00A51173" w:rsidRDefault="00A51173">
      <w:pPr>
        <w:pStyle w:val="ConsPlusNormal"/>
        <w:spacing w:before="220"/>
        <w:ind w:firstLine="540"/>
        <w:jc w:val="both"/>
      </w:pPr>
      <w:r>
        <w:t>- на классы прочности на растяжение при изгибе: B</w:t>
      </w:r>
      <w:r>
        <w:rPr>
          <w:vertAlign w:val="subscript"/>
        </w:rPr>
        <w:t>tb</w:t>
      </w:r>
      <w:r>
        <w:t>1,2; B</w:t>
      </w:r>
      <w:r>
        <w:rPr>
          <w:vertAlign w:val="subscript"/>
        </w:rPr>
        <w:t>tb</w:t>
      </w:r>
      <w:r>
        <w:t>1,6; B</w:t>
      </w:r>
      <w:r>
        <w:rPr>
          <w:vertAlign w:val="subscript"/>
        </w:rPr>
        <w:t>tb</w:t>
      </w:r>
      <w:r>
        <w:t>2,0; B</w:t>
      </w:r>
      <w:r>
        <w:rPr>
          <w:vertAlign w:val="subscript"/>
        </w:rPr>
        <w:t>tb</w:t>
      </w:r>
      <w:r>
        <w:t>2,4; B</w:t>
      </w:r>
      <w:r>
        <w:rPr>
          <w:vertAlign w:val="subscript"/>
        </w:rPr>
        <w:t>tb</w:t>
      </w:r>
      <w:r>
        <w:t>2,8; B</w:t>
      </w:r>
      <w:r>
        <w:rPr>
          <w:vertAlign w:val="subscript"/>
        </w:rPr>
        <w:t>tb</w:t>
      </w:r>
      <w:r>
        <w:t>3,2; B</w:t>
      </w:r>
      <w:r>
        <w:rPr>
          <w:vertAlign w:val="subscript"/>
        </w:rPr>
        <w:t>tb</w:t>
      </w:r>
      <w:r>
        <w:t>3,6; B</w:t>
      </w:r>
      <w:r>
        <w:rPr>
          <w:vertAlign w:val="subscript"/>
        </w:rPr>
        <w:t>tb</w:t>
      </w:r>
      <w:r>
        <w:t>4,0; B</w:t>
      </w:r>
      <w:r>
        <w:rPr>
          <w:vertAlign w:val="subscript"/>
        </w:rPr>
        <w:t>tb</w:t>
      </w:r>
      <w:r>
        <w:t>4,4; B</w:t>
      </w:r>
      <w:r>
        <w:rPr>
          <w:vertAlign w:val="subscript"/>
        </w:rPr>
        <w:t>tb</w:t>
      </w:r>
      <w:r>
        <w:t>4,8; B</w:t>
      </w:r>
      <w:r>
        <w:rPr>
          <w:vertAlign w:val="subscript"/>
        </w:rPr>
        <w:t>tb</w:t>
      </w:r>
      <w:r>
        <w:t>5,2; B</w:t>
      </w:r>
      <w:r>
        <w:rPr>
          <w:vertAlign w:val="subscript"/>
        </w:rPr>
        <w:t>tb</w:t>
      </w:r>
      <w:r>
        <w:t>5,6; B</w:t>
      </w:r>
      <w:r>
        <w:rPr>
          <w:vertAlign w:val="subscript"/>
        </w:rPr>
        <w:t>tb</w:t>
      </w:r>
      <w:r>
        <w:t>6,0; B</w:t>
      </w:r>
      <w:r>
        <w:rPr>
          <w:vertAlign w:val="subscript"/>
        </w:rPr>
        <w:t>tb</w:t>
      </w:r>
      <w:r>
        <w:t>6,4; B</w:t>
      </w:r>
      <w:r>
        <w:rPr>
          <w:vertAlign w:val="subscript"/>
        </w:rPr>
        <w:t>tb</w:t>
      </w:r>
      <w:r>
        <w:t>6,8; B</w:t>
      </w:r>
      <w:r>
        <w:rPr>
          <w:vertAlign w:val="subscript"/>
        </w:rPr>
        <w:t>tb</w:t>
      </w:r>
      <w:r>
        <w:t>7,2; B</w:t>
      </w:r>
      <w:r>
        <w:rPr>
          <w:vertAlign w:val="subscript"/>
        </w:rPr>
        <w:t>tb</w:t>
      </w:r>
      <w:r>
        <w:t>7,6; B</w:t>
      </w:r>
      <w:r>
        <w:rPr>
          <w:vertAlign w:val="subscript"/>
        </w:rPr>
        <w:t>tb</w:t>
      </w:r>
      <w:r>
        <w:t>8,0; B</w:t>
      </w:r>
      <w:r>
        <w:rPr>
          <w:vertAlign w:val="subscript"/>
        </w:rPr>
        <w:t>tb</w:t>
      </w:r>
      <w:r>
        <w:t>8,4; B</w:t>
      </w:r>
      <w:r>
        <w:rPr>
          <w:vertAlign w:val="subscript"/>
        </w:rPr>
        <w:t>tb</w:t>
      </w:r>
      <w:r>
        <w:t>8,8; B</w:t>
      </w:r>
      <w:r>
        <w:rPr>
          <w:vertAlign w:val="subscript"/>
        </w:rPr>
        <w:t>tb</w:t>
      </w:r>
      <w:r>
        <w:t>9,2; B</w:t>
      </w:r>
      <w:r>
        <w:rPr>
          <w:vertAlign w:val="subscript"/>
        </w:rPr>
        <w:t>tb</w:t>
      </w:r>
      <w:r>
        <w:t>9,6; B</w:t>
      </w:r>
      <w:r>
        <w:rPr>
          <w:vertAlign w:val="subscript"/>
        </w:rPr>
        <w:t>tb</w:t>
      </w:r>
      <w:r>
        <w:t>10,0;</w:t>
      </w:r>
    </w:p>
    <w:p w:rsidR="00A51173" w:rsidRDefault="00A51173">
      <w:pPr>
        <w:pStyle w:val="ConsPlusNormal"/>
        <w:spacing w:before="220"/>
        <w:ind w:firstLine="540"/>
        <w:jc w:val="both"/>
      </w:pPr>
      <w:r>
        <w:t>- по морозостойкости:</w:t>
      </w:r>
    </w:p>
    <w:p w:rsidR="00A51173" w:rsidRDefault="00A51173">
      <w:pPr>
        <w:pStyle w:val="ConsPlusNormal"/>
        <w:spacing w:before="220"/>
        <w:ind w:firstLine="540"/>
        <w:jc w:val="both"/>
      </w:pPr>
      <w:r>
        <w:t>- на марки по первому базовому методу: F</w:t>
      </w:r>
      <w:r>
        <w:rPr>
          <w:vertAlign w:val="subscript"/>
        </w:rPr>
        <w:t>1</w:t>
      </w:r>
      <w:r>
        <w:t>50, F</w:t>
      </w:r>
      <w:r>
        <w:rPr>
          <w:vertAlign w:val="subscript"/>
        </w:rPr>
        <w:t>1</w:t>
      </w:r>
      <w:r>
        <w:t>75, F</w:t>
      </w:r>
      <w:r>
        <w:rPr>
          <w:vertAlign w:val="subscript"/>
        </w:rPr>
        <w:t>1</w:t>
      </w:r>
      <w:r>
        <w:t>100, F</w:t>
      </w:r>
      <w:r>
        <w:rPr>
          <w:vertAlign w:val="subscript"/>
        </w:rPr>
        <w:t>1</w:t>
      </w:r>
      <w:r>
        <w:t>150, F</w:t>
      </w:r>
      <w:r>
        <w:rPr>
          <w:vertAlign w:val="subscript"/>
        </w:rPr>
        <w:t>1</w:t>
      </w:r>
      <w:r>
        <w:t>200, F</w:t>
      </w:r>
      <w:r>
        <w:rPr>
          <w:vertAlign w:val="subscript"/>
        </w:rPr>
        <w:t>1</w:t>
      </w:r>
      <w:r>
        <w:t>300, F</w:t>
      </w:r>
      <w:r>
        <w:rPr>
          <w:vertAlign w:val="subscript"/>
        </w:rPr>
        <w:t>1</w:t>
      </w:r>
      <w:r>
        <w:t>400, F</w:t>
      </w:r>
      <w:r>
        <w:rPr>
          <w:vertAlign w:val="subscript"/>
        </w:rPr>
        <w:t>1</w:t>
      </w:r>
      <w:r>
        <w:t>500, F</w:t>
      </w:r>
      <w:r>
        <w:rPr>
          <w:vertAlign w:val="subscript"/>
        </w:rPr>
        <w:t>1</w:t>
      </w:r>
      <w:r>
        <w:t>600, F</w:t>
      </w:r>
      <w:r>
        <w:rPr>
          <w:vertAlign w:val="subscript"/>
        </w:rPr>
        <w:t>1</w:t>
      </w:r>
      <w:r>
        <w:t>800, F</w:t>
      </w:r>
      <w:r>
        <w:rPr>
          <w:vertAlign w:val="subscript"/>
        </w:rPr>
        <w:t>1</w:t>
      </w:r>
      <w:r>
        <w:t>1000;</w:t>
      </w:r>
    </w:p>
    <w:p w:rsidR="00A51173" w:rsidRDefault="00A51173">
      <w:pPr>
        <w:pStyle w:val="ConsPlusNormal"/>
        <w:spacing w:before="220"/>
        <w:ind w:firstLine="540"/>
        <w:jc w:val="both"/>
      </w:pPr>
      <w:r>
        <w:t>- на марки по второму базовому методу: F</w:t>
      </w:r>
      <w:r>
        <w:rPr>
          <w:vertAlign w:val="subscript"/>
        </w:rPr>
        <w:t>2</w:t>
      </w:r>
      <w:r>
        <w:t>100, F</w:t>
      </w:r>
      <w:r>
        <w:rPr>
          <w:vertAlign w:val="subscript"/>
        </w:rPr>
        <w:t>2</w:t>
      </w:r>
      <w:r>
        <w:t>150, F</w:t>
      </w:r>
      <w:r>
        <w:rPr>
          <w:vertAlign w:val="subscript"/>
        </w:rPr>
        <w:t>2</w:t>
      </w:r>
      <w:r>
        <w:t>200, F</w:t>
      </w:r>
      <w:r>
        <w:rPr>
          <w:vertAlign w:val="subscript"/>
        </w:rPr>
        <w:t>2</w:t>
      </w:r>
      <w:r>
        <w:t>300, F</w:t>
      </w:r>
      <w:r>
        <w:rPr>
          <w:vertAlign w:val="subscript"/>
        </w:rPr>
        <w:t>2</w:t>
      </w:r>
      <w:r>
        <w:t>400, F</w:t>
      </w:r>
      <w:r>
        <w:rPr>
          <w:vertAlign w:val="subscript"/>
        </w:rPr>
        <w:t>2</w:t>
      </w:r>
      <w:r>
        <w:t>500;</w:t>
      </w:r>
    </w:p>
    <w:p w:rsidR="00A51173" w:rsidRDefault="00A51173">
      <w:pPr>
        <w:pStyle w:val="ConsPlusNormal"/>
        <w:spacing w:before="220"/>
        <w:ind w:firstLine="540"/>
        <w:jc w:val="both"/>
      </w:pPr>
      <w:r>
        <w:t>- по водонепроницаемости на марки: W2, W4, W6, W8, W10, W12, W14, W16, W18, W20;</w:t>
      </w:r>
    </w:p>
    <w:p w:rsidR="00A51173" w:rsidRDefault="00A51173">
      <w:pPr>
        <w:pStyle w:val="ConsPlusNormal"/>
        <w:spacing w:before="220"/>
        <w:ind w:firstLine="540"/>
        <w:jc w:val="both"/>
      </w:pPr>
      <w:r>
        <w:t xml:space="preserve">- по </w:t>
      </w:r>
      <w:proofErr w:type="spellStart"/>
      <w:r>
        <w:t>истираемости</w:t>
      </w:r>
      <w:proofErr w:type="spellEnd"/>
      <w:r>
        <w:t xml:space="preserve"> при испытании на круге истирания на марки: G1, G2, G3.</w:t>
      </w:r>
    </w:p>
    <w:p w:rsidR="00A51173" w:rsidRDefault="00A51173">
      <w:pPr>
        <w:pStyle w:val="ConsPlusNormal"/>
        <w:spacing w:before="220"/>
        <w:ind w:firstLine="540"/>
        <w:jc w:val="both"/>
      </w:pPr>
      <w:r>
        <w:t>Заказчиком установлено требование к марке бетона по морозостойкости, которая должна быть обеспечена при выполнении конкретного вида работ. Использование конкретной марки бетона по морозостойкости установлено технической документацией заказчика.</w:t>
      </w:r>
    </w:p>
    <w:p w:rsidR="00A51173" w:rsidRDefault="00A51173">
      <w:pPr>
        <w:pStyle w:val="ConsPlusNormal"/>
        <w:spacing w:before="220"/>
        <w:ind w:firstLine="540"/>
        <w:jc w:val="both"/>
      </w:pPr>
      <w:r>
        <w:t>Заказчик не требует предоставления в составе первой части заявки конкретного либо неконкретного значения результата испытаний на морозостойкость, а именно числа циклов попеременного замораживания и оттаивания, которое при испытании выдерживают образцы. При этом участник закупки обязан выполнить требования заказчика в части указания марки без указания конкретного числа циклов замораживания и оттаивания.</w:t>
      </w:r>
    </w:p>
    <w:p w:rsidR="00A51173" w:rsidRDefault="00A51173">
      <w:pPr>
        <w:pStyle w:val="ConsPlusNormal"/>
        <w:spacing w:before="220"/>
        <w:ind w:firstLine="540"/>
        <w:jc w:val="both"/>
      </w:pPr>
      <w:r>
        <w:t>При этом марка бетона по морозостойкости может и должна быть указана участником в составе первой части заявки без ограничения доступа к участию в аукционе.</w:t>
      </w:r>
    </w:p>
    <w:p w:rsidR="00A51173" w:rsidRDefault="00A51173">
      <w:pPr>
        <w:pStyle w:val="ConsPlusNormal"/>
        <w:spacing w:before="220"/>
        <w:ind w:firstLine="540"/>
        <w:jc w:val="both"/>
      </w:pPr>
      <w:r>
        <w:lastRenderedPageBreak/>
        <w:t xml:space="preserve">Аналогично заказчик не требует указания конкретного или неконкретного значения результатов испытаний бетона на водонепроницаемость, выраженную в МПа согласно </w:t>
      </w:r>
      <w:hyperlink r:id="rId29" w:history="1">
        <w:r>
          <w:rPr>
            <w:color w:val="0000FF"/>
          </w:rPr>
          <w:t>п. 2.4.3</w:t>
        </w:r>
      </w:hyperlink>
      <w:r>
        <w:t xml:space="preserve"> ГОСТ 12730.5-84:</w:t>
      </w:r>
    </w:p>
    <w:p w:rsidR="00A51173" w:rsidRDefault="00A5117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907"/>
        <w:gridCol w:w="1020"/>
        <w:gridCol w:w="1020"/>
        <w:gridCol w:w="1020"/>
        <w:gridCol w:w="1077"/>
        <w:gridCol w:w="1190"/>
      </w:tblGrid>
      <w:tr w:rsidR="00A51173">
        <w:tc>
          <w:tcPr>
            <w:tcW w:w="2834" w:type="dxa"/>
          </w:tcPr>
          <w:p w:rsidR="00A51173" w:rsidRDefault="00A51173">
            <w:pPr>
              <w:pStyle w:val="ConsPlusNormal"/>
              <w:jc w:val="center"/>
            </w:pPr>
            <w:r>
              <w:t>Водонепроницаемость серии образцов, МПа</w:t>
            </w:r>
          </w:p>
        </w:tc>
        <w:tc>
          <w:tcPr>
            <w:tcW w:w="907" w:type="dxa"/>
          </w:tcPr>
          <w:p w:rsidR="00A51173" w:rsidRDefault="00A51173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020" w:type="dxa"/>
          </w:tcPr>
          <w:p w:rsidR="00A51173" w:rsidRDefault="00A51173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020" w:type="dxa"/>
          </w:tcPr>
          <w:p w:rsidR="00A51173" w:rsidRDefault="00A51173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1020" w:type="dxa"/>
          </w:tcPr>
          <w:p w:rsidR="00A51173" w:rsidRDefault="00A51173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077" w:type="dxa"/>
          </w:tcPr>
          <w:p w:rsidR="00A51173" w:rsidRDefault="00A51173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90" w:type="dxa"/>
          </w:tcPr>
          <w:p w:rsidR="00A51173" w:rsidRDefault="00A51173">
            <w:pPr>
              <w:pStyle w:val="ConsPlusNormal"/>
              <w:jc w:val="center"/>
            </w:pPr>
            <w:r>
              <w:t>1,2</w:t>
            </w:r>
          </w:p>
        </w:tc>
      </w:tr>
      <w:tr w:rsidR="00A51173">
        <w:tc>
          <w:tcPr>
            <w:tcW w:w="2834" w:type="dxa"/>
          </w:tcPr>
          <w:p w:rsidR="00A51173" w:rsidRDefault="00A51173">
            <w:pPr>
              <w:pStyle w:val="ConsPlusNormal"/>
            </w:pPr>
            <w:r>
              <w:t>Марка бетона по водонепроницаемости</w:t>
            </w:r>
          </w:p>
        </w:tc>
        <w:tc>
          <w:tcPr>
            <w:tcW w:w="907" w:type="dxa"/>
          </w:tcPr>
          <w:p w:rsidR="00A51173" w:rsidRDefault="00A51173">
            <w:pPr>
              <w:pStyle w:val="ConsPlusNormal"/>
              <w:jc w:val="center"/>
            </w:pPr>
            <w:r>
              <w:t>W2</w:t>
            </w:r>
          </w:p>
        </w:tc>
        <w:tc>
          <w:tcPr>
            <w:tcW w:w="1020" w:type="dxa"/>
          </w:tcPr>
          <w:p w:rsidR="00A51173" w:rsidRDefault="00A51173">
            <w:pPr>
              <w:pStyle w:val="ConsPlusNormal"/>
              <w:jc w:val="center"/>
            </w:pPr>
            <w:r>
              <w:t>W4</w:t>
            </w:r>
          </w:p>
        </w:tc>
        <w:tc>
          <w:tcPr>
            <w:tcW w:w="1020" w:type="dxa"/>
          </w:tcPr>
          <w:p w:rsidR="00A51173" w:rsidRDefault="00A51173">
            <w:pPr>
              <w:pStyle w:val="ConsPlusNormal"/>
              <w:jc w:val="center"/>
            </w:pPr>
            <w:r>
              <w:t>W6</w:t>
            </w:r>
          </w:p>
        </w:tc>
        <w:tc>
          <w:tcPr>
            <w:tcW w:w="1020" w:type="dxa"/>
          </w:tcPr>
          <w:p w:rsidR="00A51173" w:rsidRDefault="00A51173">
            <w:pPr>
              <w:pStyle w:val="ConsPlusNormal"/>
              <w:jc w:val="center"/>
            </w:pPr>
            <w:r>
              <w:t>W8</w:t>
            </w:r>
          </w:p>
        </w:tc>
        <w:tc>
          <w:tcPr>
            <w:tcW w:w="1077" w:type="dxa"/>
          </w:tcPr>
          <w:p w:rsidR="00A51173" w:rsidRDefault="00A51173">
            <w:pPr>
              <w:pStyle w:val="ConsPlusNormal"/>
              <w:jc w:val="center"/>
            </w:pPr>
            <w:r>
              <w:t>W10</w:t>
            </w:r>
          </w:p>
        </w:tc>
        <w:tc>
          <w:tcPr>
            <w:tcW w:w="1190" w:type="dxa"/>
          </w:tcPr>
          <w:p w:rsidR="00A51173" w:rsidRDefault="00A51173">
            <w:pPr>
              <w:pStyle w:val="ConsPlusNormal"/>
              <w:jc w:val="center"/>
            </w:pPr>
            <w:r>
              <w:t>W12</w:t>
            </w:r>
          </w:p>
        </w:tc>
      </w:tr>
    </w:tbl>
    <w:p w:rsidR="00A51173" w:rsidRDefault="00A51173">
      <w:pPr>
        <w:pStyle w:val="ConsPlusNormal"/>
        <w:ind w:firstLine="540"/>
        <w:jc w:val="both"/>
      </w:pPr>
    </w:p>
    <w:p w:rsidR="00A51173" w:rsidRDefault="00A51173">
      <w:pPr>
        <w:pStyle w:val="ConsPlusNormal"/>
        <w:ind w:firstLine="540"/>
        <w:jc w:val="both"/>
      </w:pPr>
      <w:r>
        <w:t>При этом марка бетона по водонепроницаемости может и должна быть указана участником в составе первой части заявки без ограничения доступа к участию в аукционе.</w:t>
      </w:r>
    </w:p>
    <w:p w:rsidR="00A51173" w:rsidRDefault="00A51173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30" w:history="1">
        <w:r>
          <w:rPr>
            <w:color w:val="0000FF"/>
          </w:rPr>
          <w:t>ГОСТ 26633-2015</w:t>
        </w:r>
      </w:hyperlink>
      <w:r>
        <w:t xml:space="preserve"> бетонные смеси должны соответствовать требованиям </w:t>
      </w:r>
      <w:hyperlink r:id="rId31" w:history="1">
        <w:r>
          <w:rPr>
            <w:color w:val="0000FF"/>
          </w:rPr>
          <w:t>ГОСТ 7473</w:t>
        </w:r>
      </w:hyperlink>
      <w:r>
        <w:t>.</w:t>
      </w:r>
    </w:p>
    <w:p w:rsidR="00A51173" w:rsidRDefault="00A51173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32" w:history="1">
        <w:r>
          <w:rPr>
            <w:color w:val="0000FF"/>
          </w:rPr>
          <w:t>п. 3.5</w:t>
        </w:r>
      </w:hyperlink>
      <w:r>
        <w:t xml:space="preserve"> ГОСТ 7473-2010 бетонная смесь заданного состава - бетонная смесь, состав которой и используемые при ее приготовлении составляющие задаются производителю, несущему ответственность за обеспечение этого состава.</w:t>
      </w:r>
    </w:p>
    <w:p w:rsidR="00A51173" w:rsidRDefault="00A51173">
      <w:pPr>
        <w:pStyle w:val="ConsPlusNormal"/>
        <w:spacing w:before="220"/>
        <w:ind w:firstLine="540"/>
        <w:jc w:val="both"/>
      </w:pPr>
      <w:r>
        <w:t>Класс бетонной смеси по прочности на сжатие и марка по водонепроницаемости, марка по морозостойкости являются доступной информацией для участников закупки.</w:t>
      </w:r>
    </w:p>
    <w:p w:rsidR="00A51173" w:rsidRDefault="00A51173">
      <w:pPr>
        <w:pStyle w:val="ConsPlusNormal"/>
        <w:spacing w:before="220"/>
        <w:ind w:firstLine="540"/>
        <w:jc w:val="both"/>
      </w:pPr>
      <w:r>
        <w:t>Аналогичные требования заказчика к товара (материалам), используемым при выполнении работ, для указания значения которых не требуется проведения испытаний, установлены заказчиком также по п. 5 Смесь (показатели: группа - не хуже 5, содержание гравия диапазон, % - 65 - 75), по п. 8 Раствор (показатели: марка раствора - не ниже 100, марка по подвижности - Пк3, Пк</w:t>
      </w:r>
      <w:proofErr w:type="gramStart"/>
      <w:r>
        <w:t>4</w:t>
      </w:r>
      <w:proofErr w:type="gramEnd"/>
      <w:r>
        <w:t>).</w:t>
      </w:r>
    </w:p>
    <w:p w:rsidR="00A51173" w:rsidRDefault="00A51173">
      <w:pPr>
        <w:pStyle w:val="ConsPlusNormal"/>
        <w:spacing w:before="220"/>
        <w:ind w:firstLine="540"/>
        <w:jc w:val="both"/>
      </w:pPr>
      <w:proofErr w:type="gramStart"/>
      <w:r>
        <w:t xml:space="preserve">В связи с изложенным, довод Заявителя об указании Заказчиком в аукционной документации показателей товара, значения которых становятся известными по результатам проведения лабораторных испытаний, </w:t>
      </w:r>
      <w:proofErr w:type="spellStart"/>
      <w:r>
        <w:t>необоснован</w:t>
      </w:r>
      <w:proofErr w:type="spellEnd"/>
      <w:r>
        <w:t>.</w:t>
      </w:r>
      <w:proofErr w:type="gramEnd"/>
    </w:p>
    <w:p w:rsidR="00A51173" w:rsidRDefault="00A51173">
      <w:pPr>
        <w:pStyle w:val="ConsPlusNormal"/>
        <w:spacing w:before="220"/>
        <w:ind w:firstLine="540"/>
        <w:jc w:val="both"/>
      </w:pPr>
      <w:r>
        <w:t>Запрос о разъяснении положений аукционной документации по данным вопросам участники закупки не подавали.</w:t>
      </w:r>
    </w:p>
    <w:p w:rsidR="00A51173" w:rsidRDefault="00A51173">
      <w:pPr>
        <w:pStyle w:val="ConsPlusNormal"/>
        <w:spacing w:before="220"/>
        <w:ind w:firstLine="540"/>
        <w:jc w:val="both"/>
      </w:pPr>
      <w:r>
        <w:t>Кроме того, в аукционной документации установлено требование о членстве в СРО. ИП П. &lt;...&gt; не состоит в саморегулируемой организации, что исключает нарушение его прав и интересов.</w:t>
      </w:r>
    </w:p>
    <w:p w:rsidR="00A51173" w:rsidRDefault="00A51173">
      <w:pPr>
        <w:pStyle w:val="ConsPlusNormal"/>
        <w:spacing w:before="220"/>
        <w:ind w:firstLine="540"/>
        <w:jc w:val="both"/>
      </w:pPr>
      <w:r>
        <w:t xml:space="preserve">Исходя из вышеизложенного, Инспекция, руководствуясь </w:t>
      </w:r>
      <w:hyperlink r:id="rId33" w:history="1">
        <w:r>
          <w:rPr>
            <w:color w:val="0000FF"/>
          </w:rPr>
          <w:t>ч. 15</w:t>
        </w:r>
      </w:hyperlink>
      <w:r>
        <w:t xml:space="preserve">, </w:t>
      </w:r>
      <w:hyperlink r:id="rId34" w:history="1">
        <w:r>
          <w:rPr>
            <w:color w:val="0000FF"/>
          </w:rPr>
          <w:t>ч. 22 ст. 99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нужд",</w:t>
      </w:r>
    </w:p>
    <w:p w:rsidR="00A51173" w:rsidRDefault="00A51173">
      <w:pPr>
        <w:pStyle w:val="ConsPlusNormal"/>
        <w:jc w:val="center"/>
      </w:pPr>
    </w:p>
    <w:p w:rsidR="00A51173" w:rsidRDefault="00A51173">
      <w:pPr>
        <w:pStyle w:val="ConsPlusNormal"/>
        <w:jc w:val="center"/>
      </w:pPr>
      <w:r>
        <w:t>решила:</w:t>
      </w:r>
    </w:p>
    <w:p w:rsidR="00A51173" w:rsidRDefault="00A51173">
      <w:pPr>
        <w:pStyle w:val="ConsPlusNormal"/>
        <w:jc w:val="center"/>
      </w:pPr>
    </w:p>
    <w:p w:rsidR="00A51173" w:rsidRDefault="00A51173">
      <w:pPr>
        <w:pStyle w:val="ConsPlusNormal"/>
        <w:ind w:firstLine="540"/>
        <w:jc w:val="both"/>
      </w:pPr>
      <w:r>
        <w:t>1. Признать жалобу ИП П. &lt;...&gt; необоснованной.</w:t>
      </w:r>
    </w:p>
    <w:p w:rsidR="00A51173" w:rsidRDefault="00A51173">
      <w:pPr>
        <w:pStyle w:val="ConsPlusNormal"/>
        <w:spacing w:before="220"/>
        <w:ind w:firstLine="540"/>
        <w:jc w:val="both"/>
      </w:pPr>
      <w:r>
        <w:t>2. Отменить приостановление определение поставщика (подрядчика, исполнителя) в части подписания контракта (извещение N 0318300274518000039).</w:t>
      </w:r>
    </w:p>
    <w:p w:rsidR="00A51173" w:rsidRDefault="00A51173">
      <w:pPr>
        <w:pStyle w:val="ConsPlusNormal"/>
        <w:spacing w:before="220"/>
        <w:ind w:firstLine="540"/>
        <w:jc w:val="both"/>
      </w:pPr>
      <w:r>
        <w:t>Настоящее Решение может быть обжаловано в судебном порядке в течение трех месяцев со дня его принятия.</w:t>
      </w:r>
    </w:p>
    <w:p w:rsidR="00A51173" w:rsidRDefault="00A51173">
      <w:pPr>
        <w:pStyle w:val="ConsPlusNormal"/>
        <w:ind w:firstLine="540"/>
        <w:jc w:val="both"/>
      </w:pPr>
    </w:p>
    <w:p w:rsidR="00A51173" w:rsidRDefault="00A51173">
      <w:pPr>
        <w:pStyle w:val="ConsPlusNormal"/>
        <w:ind w:firstLine="540"/>
        <w:jc w:val="both"/>
      </w:pPr>
    </w:p>
    <w:p w:rsidR="00A51173" w:rsidRDefault="00A5117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F6C34" w:rsidRDefault="00CF6C34"/>
    <w:sectPr w:rsidR="00CF6C34" w:rsidSect="00F82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173"/>
    <w:rsid w:val="00A51173"/>
    <w:rsid w:val="00CF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11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11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11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11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11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11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7BDCCCBC290A8388094A7F0E1B405709EFDFB63BFDB5572D189E4250773DE7DA34840DD8D5601490883DECD69602369EB62BF3B5D9T8HFJ" TargetMode="External"/><Relationship Id="rId13" Type="http://schemas.openxmlformats.org/officeDocument/2006/relationships/hyperlink" Target="consultantplus://offline/ref=BC7BDCCCBC290A8388094A7F0E1B405709EFDFB530F3B5572D189E4250773DE7C834DC01DADF781FCCC77BB9DAT9HFJ" TargetMode="External"/><Relationship Id="rId18" Type="http://schemas.openxmlformats.org/officeDocument/2006/relationships/hyperlink" Target="consultantplus://offline/ref=BC7BDCCCBC290A8388094A7F0E1B405709EFDFB530F3B5572D189E4250773DE7DA34840DDAD7611EC1D22DE89FC3062897A035F9ABDA86D6TCH2J" TargetMode="External"/><Relationship Id="rId26" Type="http://schemas.openxmlformats.org/officeDocument/2006/relationships/hyperlink" Target="consultantplus://offline/ref=BC7BDCCCBC290A838809556A0B1B40570AEED0B53DF0E85D25419240577862E2DD25840CD3C86617DADB79B8TDH2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C7BDCCCBC290A8388094A7F0E1B405709EFDFB530F3B5572D189E4250773DE7DA34840DDAD66E1BC3D22DE89FC3062897A035F9ABDA86D6TCH2J" TargetMode="External"/><Relationship Id="rId34" Type="http://schemas.openxmlformats.org/officeDocument/2006/relationships/hyperlink" Target="consultantplus://offline/ref=BC7BDCCCBC290A8388094A7F0E1B405709EFDFB530F3B5572D189E4250773DE7DA34840DDAD7621BC4D22DE89FC3062897A035F9ABDA86D6TCH2J" TargetMode="External"/><Relationship Id="rId7" Type="http://schemas.openxmlformats.org/officeDocument/2006/relationships/hyperlink" Target="consultantplus://offline/ref=BC7BDCCCBC290A8388094A7F0E1B405709EFDFB530F3B5572D189E4250773DE7C834DC01DADF781FCCC77BB9DAT9HFJ" TargetMode="External"/><Relationship Id="rId12" Type="http://schemas.openxmlformats.org/officeDocument/2006/relationships/hyperlink" Target="consultantplus://offline/ref=BC7BDCCCBC290A8388094A7F0E1B405709EFDFB530F3B5572D189E4250773DE7DA34840DDAD66616C3D22DE89FC3062897A035F9ABDA86D6TCH2J" TargetMode="External"/><Relationship Id="rId17" Type="http://schemas.openxmlformats.org/officeDocument/2006/relationships/hyperlink" Target="consultantplus://offline/ref=BC7BDCCCBC290A8388094A7F0E1B405709EFDFB530F3B5572D189E4250773DE7DA34840DD9D26D4B959D2CB4DB9F152896A037F1B4TDH1J" TargetMode="External"/><Relationship Id="rId25" Type="http://schemas.openxmlformats.org/officeDocument/2006/relationships/hyperlink" Target="consultantplus://offline/ref=BC7BDCCCBC290A838809556A0B1B40570AEFDDBF38F0E85D25419240577862E2DD25840CD3C86617DADB79B8TDH2J" TargetMode="External"/><Relationship Id="rId33" Type="http://schemas.openxmlformats.org/officeDocument/2006/relationships/hyperlink" Target="consultantplus://offline/ref=BC7BDCCCBC290A8388094A7F0E1B405709EFDFB530F3B5572D189E4250773DE7DA34840DDAD7621CC4D22DE89FC3062897A035F9ABDA86D6TCH2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C7BDCCCBC290A8388094A7F0E1B405709EFDFB530F3B5572D189E4250773DE7DA34840FD9D36D4B959D2CB4DB9F152896A037F1B4TDH1J" TargetMode="External"/><Relationship Id="rId20" Type="http://schemas.openxmlformats.org/officeDocument/2006/relationships/hyperlink" Target="consultantplus://offline/ref=BC7BDCCCBC290A8388094A7F0E1B405709EFDFB530F3B5572D189E4250773DE7DA34840DDAD66E1DC7D22DE89FC3062897A035F9ABDA86D6TCH2J" TargetMode="External"/><Relationship Id="rId29" Type="http://schemas.openxmlformats.org/officeDocument/2006/relationships/hyperlink" Target="consultantplus://offline/ref=BC7BDCCCBC290A838809556A0B1B40570FE7D1B132ADE2557C4D9047582775F79471890CDAD0671490883DECD69602369EB62BF3B5D9T8HF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C7BDCCCBC290A8388094A7F0E1B405709EFDFB530F3B5572D189E4250773DE7C834DC01DADF781FCCC77BB9DAT9HFJ" TargetMode="External"/><Relationship Id="rId11" Type="http://schemas.openxmlformats.org/officeDocument/2006/relationships/hyperlink" Target="consultantplus://offline/ref=BC7BDCCCBC290A8388094A7F0E1B405709EFDDB53DFCB5572D189E4250773DE7DA34840AD3DD324E808C74B9D2880B2080BC35F0TBHCJ" TargetMode="External"/><Relationship Id="rId24" Type="http://schemas.openxmlformats.org/officeDocument/2006/relationships/hyperlink" Target="consultantplus://offline/ref=BC7BDCCCBC290A8388094A7F0E1B405709EFDFB530F3B5572D189E4250773DE7C834DC01DADF781FCCC77BB9DAT9HFJ" TargetMode="External"/><Relationship Id="rId32" Type="http://schemas.openxmlformats.org/officeDocument/2006/relationships/hyperlink" Target="consultantplus://offline/ref=BC7BDCCCBC290A838809556A0B1B40570AE3DEB23FF0E85D25419240577862F0DD7D880CDAD6611CCF8D28FD8E9B0B2180BE3DEFB7D887TDHEJ" TargetMode="External"/><Relationship Id="rId5" Type="http://schemas.openxmlformats.org/officeDocument/2006/relationships/hyperlink" Target="consultantplus://offline/ref=BC7BDCCCBC290A8388094A7F0E1B405709EFDFB530F3B5572D189E4250773DE7DA34840DDAD76518C2D22DE89FC3062897A035F9ABDA86D6TCH2J" TargetMode="External"/><Relationship Id="rId15" Type="http://schemas.openxmlformats.org/officeDocument/2006/relationships/hyperlink" Target="consultantplus://offline/ref=BC7BDCCCBC290A8388094A7F0E1B405709EFDFB530F3B5572D189E4250773DE7DA34840DDAD66517C2D22DE89FC3062897A035F9ABDA86D6TCH2J" TargetMode="External"/><Relationship Id="rId23" Type="http://schemas.openxmlformats.org/officeDocument/2006/relationships/hyperlink" Target="consultantplus://offline/ref=BC7BDCCCBC290A8388094A7F0E1B405709E7DBB638FFB5572D189E4250773DE7C834DC01DADF781FCCC77BB9DAT9HFJ" TargetMode="External"/><Relationship Id="rId28" Type="http://schemas.openxmlformats.org/officeDocument/2006/relationships/hyperlink" Target="consultantplus://offline/ref=BC7BDCCCBC290A838809556A0B1B40570AEED0B53DF0E85D25419240577862F0DD7D880CDAD66F1CCF8D28FD8E9B0B2180BE3DEFB7D887TDHEJ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BC7BDCCCBC290A8388094A7F0E1B405709EFDFB63BFDB5572D189E4250773DE7DA34840EDAD6611490883DECD69602369EB62BF3B5D9T8HFJ" TargetMode="External"/><Relationship Id="rId19" Type="http://schemas.openxmlformats.org/officeDocument/2006/relationships/hyperlink" Target="consultantplus://offline/ref=BC7BDCCCBC290A8388094A7F0E1B405709EFDFB530F3B5572D189E4250773DE7DA34840DDAD66517C3D22DE89FC3062897A035F9ABDA86D6TCH2J" TargetMode="External"/><Relationship Id="rId31" Type="http://schemas.openxmlformats.org/officeDocument/2006/relationships/hyperlink" Target="consultantplus://offline/ref=BC7BDCCCBC290A838809556A0B1B40570AE3DEB23FF0E85D25419240577862E2DD25840CD3C86617DADB79B8TDH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7BDCCCBC290A8388094A7F0E1B405709EFDFB63BFDB5572D189E4250773DE7DA34840FD8D06D4B959D2CB4DB9F152896A037F1B4TDH1J" TargetMode="External"/><Relationship Id="rId14" Type="http://schemas.openxmlformats.org/officeDocument/2006/relationships/hyperlink" Target="consultantplus://offline/ref=BC7BDCCCBC290A8388094A7F0E1B405709EFDFB530F3B5572D189E4250773DE7DA34840DDAD66E1DC6D22DE89FC3062897A035F9ABDA86D6TCH2J" TargetMode="External"/><Relationship Id="rId22" Type="http://schemas.openxmlformats.org/officeDocument/2006/relationships/hyperlink" Target="consultantplus://offline/ref=BC7BDCCCBC290A8388094A7F0E1B405709EFDFB530F3B5572D189E4250773DE7DA34840DDAD66E19C7D22DE89FC3062897A035F9ABDA86D6TCH2J" TargetMode="External"/><Relationship Id="rId27" Type="http://schemas.openxmlformats.org/officeDocument/2006/relationships/hyperlink" Target="consultantplus://offline/ref=BC7BDCCCBC290A838809556A0B1B405703E0DDBC6FA7EA0C704F9748072272E694708012DADE781DC4D8T7H0J" TargetMode="External"/><Relationship Id="rId30" Type="http://schemas.openxmlformats.org/officeDocument/2006/relationships/hyperlink" Target="consultantplus://offline/ref=BC7BDCCCBC290A838809556A0B1B40570AEED0B53DF0E85D25419240577862E2DD25840CD3C86617DADB79B8TDH2J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3295</Words>
  <Characters>18788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2019-08-09T09:07:00Z</dcterms:created>
  <dcterms:modified xsi:type="dcterms:W3CDTF">2019-08-09T09:08:00Z</dcterms:modified>
</cp:coreProperties>
</file>